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20.wmf" ContentType="image/x-wmf"/>
  <Override PartName="/word/media/image19.wmf" ContentType="image/x-wmf"/>
  <Override PartName="/word/media/image18.wmf" ContentType="image/x-wmf"/>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wmf" ContentType="image/x-wmf"/>
  <Override PartName="/word/media/image7.png" ContentType="image/png"/>
  <Override PartName="/word/media/image11.png" ContentType="image/png"/>
  <Override PartName="/word/media/image6.png" ContentType="image/png"/>
  <Override PartName="/word/media/image5.wmf" ContentType="image/x-wmf"/>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b w:val="false"/>
          <w:b w:val="false"/>
          <w:bCs w:val="false"/>
          <w:lang w:val="pt-BR"/>
        </w:rPr>
      </w:pPr>
      <w:r>
        <w:rPr>
          <w:lang w:val="pt-BR"/>
        </w:rPr>
        <w:t>A69-Am,C- Colombia-Tairona-Gold-Male Anthropomorphic Shaman-Bat-Condor-Serpent-Pendant-1000-1500 CE</w:t>
      </w:r>
    </w:p>
    <w:p>
      <w:pPr>
        <w:pStyle w:val="Normal"/>
        <w:rPr>
          <w:rStyle w:val="StrongEmphasis"/>
          <w:b w:val="false"/>
          <w:b w:val="false"/>
          <w:bCs w:val="false"/>
          <w:lang w:val="pt-BR"/>
        </w:rPr>
      </w:pPr>
      <w:r>
        <w:rPr/>
      </w:r>
    </w:p>
    <w:p>
      <w:pPr>
        <w:pStyle w:val="Normal"/>
        <w:rPr>
          <w:lang w:val="pt-BR"/>
        </w:rPr>
      </w:pPr>
      <w:r>
        <w:rPr>
          <w:lang w:val="en-US" w:eastAsia="en-US"/>
        </w:rPr>
        <w:drawing>
          <wp:inline distT="0" distB="0" distL="0" distR="0">
            <wp:extent cx="2376170" cy="250634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5" r="-6" b="-5"/>
                    <a:stretch>
                      <a:fillRect/>
                    </a:stretch>
                  </pic:blipFill>
                  <pic:spPr bwMode="auto">
                    <a:xfrm>
                      <a:off x="0" y="0"/>
                      <a:ext cx="2376170" cy="2506345"/>
                    </a:xfrm>
                    <a:prstGeom prst="rect">
                      <a:avLst/>
                    </a:prstGeom>
                  </pic:spPr>
                </pic:pic>
              </a:graphicData>
            </a:graphic>
          </wp:inline>
        </w:drawing>
      </w:r>
      <w:r>
        <w:rPr>
          <w:lang w:val="en-US" w:eastAsia="en-US"/>
        </w:rPr>
        <w:drawing>
          <wp:inline distT="0" distB="0" distL="0" distR="0">
            <wp:extent cx="2366645" cy="250126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6" t="-6" r="-6" b="-6"/>
                    <a:stretch>
                      <a:fillRect/>
                    </a:stretch>
                  </pic:blipFill>
                  <pic:spPr bwMode="auto">
                    <a:xfrm>
                      <a:off x="0" y="0"/>
                      <a:ext cx="2366645" cy="2501265"/>
                    </a:xfrm>
                    <a:prstGeom prst="rect">
                      <a:avLst/>
                    </a:prstGeom>
                  </pic:spPr>
                </pic:pic>
              </a:graphicData>
            </a:graphic>
          </wp:inline>
        </w:drawing>
      </w:r>
      <w:r>
        <w:rPr>
          <w:lang w:val="en-US" w:eastAsia="en-US"/>
        </w:rPr>
        <w:drawing>
          <wp:inline distT="0" distB="0" distL="0" distR="0">
            <wp:extent cx="1990090" cy="251142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6" r="-7" b="-6"/>
                    <a:stretch>
                      <a:fillRect/>
                    </a:stretch>
                  </pic:blipFill>
                  <pic:spPr bwMode="auto">
                    <a:xfrm>
                      <a:off x="0" y="0"/>
                      <a:ext cx="1990090" cy="2511425"/>
                    </a:xfrm>
                    <a:prstGeom prst="rect">
                      <a:avLst/>
                    </a:prstGeom>
                  </pic:spPr>
                </pic:pic>
              </a:graphicData>
            </a:graphic>
          </wp:inline>
        </w:drawing>
      </w:r>
      <w:r>
        <w:rPr>
          <w:rFonts w:eastAsia="Times New Roman"/>
          <w:lang w:val="en-US" w:eastAsia="en-US"/>
        </w:rPr>
        <w:t xml:space="preserve"> </w:t>
      </w:r>
    </w:p>
    <w:p>
      <w:pPr>
        <w:pStyle w:val="Normal"/>
        <w:rPr/>
      </w:pPr>
      <w:r>
        <w:rPr/>
        <w:t xml:space="preserve">Figs. 1-3. </w:t>
      </w:r>
      <w:r>
        <w:rPr>
          <w:lang w:val="pt-BR"/>
        </w:rPr>
        <w:t>Colombia-Tairona-Gold- Male Anthropomorphic-Bat-Condor-Serpent-Pendant-1000-1500 AD</w:t>
      </w:r>
    </w:p>
    <w:p>
      <w:pPr>
        <w:pStyle w:val="Normal"/>
        <w:rPr>
          <w:rStyle w:val="StrongEmphasis"/>
          <w:b w:val="false"/>
          <w:b w:val="false"/>
          <w:bCs w:val="false"/>
          <w:lang w:val="pt-BR"/>
        </w:rPr>
      </w:pPr>
      <w:r>
        <w:rPr>
          <w:lang w:val="en-US" w:eastAsia="en-US"/>
        </w:rPr>
        <w:drawing>
          <wp:inline distT="0" distB="0" distL="0" distR="0">
            <wp:extent cx="2319020" cy="229235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9" t="-9" r="-9" b="-9"/>
                    <a:stretch>
                      <a:fillRect/>
                    </a:stretch>
                  </pic:blipFill>
                  <pic:spPr bwMode="auto">
                    <a:xfrm>
                      <a:off x="0" y="0"/>
                      <a:ext cx="2319020" cy="2292350"/>
                    </a:xfrm>
                    <a:prstGeom prst="rect">
                      <a:avLst/>
                    </a:prstGeom>
                  </pic:spPr>
                </pic:pic>
              </a:graphicData>
            </a:graphic>
          </wp:inline>
        </w:drawing>
      </w:r>
    </w:p>
    <w:p>
      <w:pPr>
        <w:pStyle w:val="Normal"/>
        <w:rPr>
          <w:lang w:val="pt-BR"/>
        </w:rPr>
      </w:pPr>
      <w:r>
        <w:rPr>
          <w:lang w:val="pt-BR"/>
        </w:rPr>
        <w:t xml:space="preserve">Fig. 4. Figurine, </w:t>
      </w:r>
      <w:r>
        <w:rPr>
          <w:bCs/>
        </w:rPr>
        <w:t>Gold Museum in Bogota (MO 16584).</w:t>
      </w:r>
    </w:p>
    <w:p>
      <w:pPr>
        <w:pStyle w:val="Normal"/>
        <w:rPr/>
      </w:pPr>
      <w:r>
        <w:rPr>
          <w:rStyle w:val="StrongEmphasis"/>
        </w:rPr>
        <w:t>Case no.: 7</w:t>
      </w:r>
    </w:p>
    <w:p>
      <w:pPr>
        <w:pStyle w:val="Normal"/>
        <w:rPr/>
      </w:pPr>
      <w:r>
        <w:rPr>
          <w:rStyle w:val="StrongEmphasis"/>
        </w:rPr>
        <w:t>Accession Number: A69</w:t>
      </w:r>
    </w:p>
    <w:p>
      <w:pPr>
        <w:pStyle w:val="Normal"/>
        <w:rPr>
          <w:rStyle w:val="StrongEmphasis"/>
          <w:b w:val="false"/>
          <w:b w:val="false"/>
          <w:bCs w:val="false"/>
          <w:lang w:val="pt-BR"/>
        </w:rPr>
      </w:pPr>
      <w:r>
        <w:rPr>
          <w:rStyle w:val="StrongEmphasis"/>
        </w:rPr>
        <w:t xml:space="preserve">Formal Label: </w:t>
      </w:r>
      <w:r>
        <w:rPr>
          <w:lang w:val="pt-BR"/>
        </w:rPr>
        <w:t>Colombia-Tairona-Gold- Male Anthropomorphic-Bat-Condor-Serpent-Pendant-1000-1500 AD</w:t>
      </w:r>
    </w:p>
    <w:p>
      <w:pPr>
        <w:pStyle w:val="Normal"/>
        <w:rPr>
          <w:bCs/>
        </w:rPr>
      </w:pPr>
      <w:r>
        <w:rPr>
          <w:b/>
          <w:bCs/>
        </w:rPr>
        <w:t xml:space="preserve">Display Description: </w:t>
      </w:r>
      <w:r>
        <w:rPr>
          <w:bCs/>
        </w:rPr>
        <w:t>This gold anthropomorphic male pendant with two loops on the back is similar to a figure in the Gold Museum in Bogota (MO 16584). The figurine, made by the lost wax process, wears a bat mask of the Phyllostomidae Family (with its</w:t>
      </w:r>
      <w:r>
        <w:rPr>
          <w:bCs/>
          <w:i/>
        </w:rPr>
        <w:t xml:space="preserve"> </w:t>
      </w:r>
      <w:r>
        <w:rPr>
          <w:bCs/>
        </w:rPr>
        <w:t>prominent snout, angular jaws, bared teeth, and a nose-leaf), a condor headdress (</w:t>
      </w:r>
      <w:r>
        <w:rPr>
          <w:bCs/>
          <w:i/>
        </w:rPr>
        <w:t>Vultur gryphus</w:t>
      </w:r>
      <w:r>
        <w:rPr>
          <w:bCs/>
        </w:rPr>
        <w:t xml:space="preserve">) with its stylized wings with gold globules in discrete spirals) and a two-headed serpent (forked tongues depicted by dual spirals with gold globules in discrete spirals at the level of his knees).  The combination of bat, condor and serpent imagery invokes their separate mythic actions and the social morés of acceptable and unacceptable behavior they implied.  </w:t>
      </w:r>
    </w:p>
    <w:p>
      <w:pPr>
        <w:pStyle w:val="Normal"/>
        <w:rPr>
          <w:bCs/>
        </w:rPr>
      </w:pPr>
      <w:r>
        <w:rPr>
          <w:bCs/>
        </w:rPr>
        <w:tab/>
        <w:t>For instance, Tairano mythology revealed that homosexuality and procreation were accepted but that incest was totally rejected. This is elucidated in a myth about the two divine sons, Mulkuexe and Sintana</w:t>
      </w:r>
      <w:r>
        <w:rPr>
          <w:b/>
          <w:bCs/>
        </w:rPr>
        <w:t>,</w:t>
      </w:r>
      <w:r>
        <w:rPr>
          <w:bCs/>
        </w:rPr>
        <w:t xml:space="preserve"> of the Universal Mother, Gualchovang. Mulkuexe was identified as a bad man in the story but he was also a </w:t>
      </w:r>
      <w:r>
        <w:rPr>
          <w:bCs/>
          <w:i/>
        </w:rPr>
        <w:t>Máma</w:t>
      </w:r>
      <w:r>
        <w:rPr>
          <w:bCs/>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Pr>
          <w:bCs/>
          <w:i/>
        </w:rPr>
        <w:t>Máma</w:t>
      </w:r>
      <w:r>
        <w:rPr>
          <w:bCs/>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pPr>
        <w:pStyle w:val="Normal"/>
        <w:rPr/>
      </w:pPr>
      <w:r>
        <w:rPr>
          <w:bCs/>
        </w:rPr>
        <w:tab/>
        <w:t xml:space="preserve">The bat, since it sucks blood, was also used to indicate when a young girl became a woman: “has the bat bitten you yet,” the Kogi women ask, by which they mean “Are you menstruating?” The young men say, “She is now a woman. The bat has bitten her” to indicate that a girl is now nubile. On the peak of ceremonial houses and also in private dwellings, the </w:t>
      </w:r>
      <w:r>
        <w:rPr>
          <w:bCs/>
          <w:i/>
        </w:rPr>
        <w:t>Máma</w:t>
      </w:r>
      <w:r>
        <w:rPr>
          <w:bCs/>
        </w:rPr>
        <w:t xml:space="preserve"> hangs a small woven cross that represents the bat and, at the same time, the female organ (Reichel-Dolmatoff 1950-1, 1: 271). </w:t>
        <w:tab/>
      </w:r>
    </w:p>
    <w:p>
      <w:pPr>
        <w:pStyle w:val="Normal"/>
        <w:rPr>
          <w:b/>
          <w:b/>
          <w:bCs/>
        </w:rPr>
      </w:pPr>
      <w:r>
        <w:rPr>
          <w:b/>
          <w:bCs/>
        </w:rPr>
      </w:r>
    </w:p>
    <w:p>
      <w:pPr>
        <w:pStyle w:val="Normal"/>
        <w:rPr>
          <w:b/>
          <w:b/>
          <w:bCs/>
        </w:rPr>
      </w:pPr>
      <w:r>
        <w:rPr>
          <w:b/>
          <w:bCs/>
        </w:rPr>
        <w:t xml:space="preserve">LC Classification: </w:t>
      </w:r>
      <w:r>
        <w:rPr>
          <w:bCs/>
        </w:rPr>
        <w:t>F1434.2</w:t>
      </w:r>
    </w:p>
    <w:p>
      <w:pPr>
        <w:pStyle w:val="Normal"/>
        <w:rPr/>
      </w:pPr>
      <w:r>
        <w:rPr>
          <w:rStyle w:val="StrongEmphasis"/>
        </w:rPr>
        <w:t>Date or Time Horizon:</w:t>
      </w:r>
      <w:r>
        <w:rPr/>
        <w:t xml:space="preserve"> 1000-1500 AD/CE</w:t>
      </w:r>
    </w:p>
    <w:p>
      <w:pPr>
        <w:pStyle w:val="Normal"/>
        <w:rPr>
          <w:rStyle w:val="StrongEmphasis"/>
          <w:b w:val="false"/>
          <w:b w:val="false"/>
        </w:rPr>
      </w:pPr>
      <w:r>
        <w:rPr>
          <w:rStyle w:val="StrongEmphasis"/>
        </w:rPr>
        <w:t xml:space="preserve">Geographical Area: </w:t>
      </w:r>
      <w:r>
        <w:rPr/>
        <w:t>Sierra Nevada de Santa Marta</w:t>
      </w:r>
      <w:r>
        <w:rPr>
          <w:rStyle w:val="StrongEmphasis"/>
          <w:b w:val="false"/>
        </w:rPr>
        <w:t>, Colombia. Indigenous names are:</w:t>
      </w:r>
      <w:r>
        <w:rPr>
          <w:rStyle w:val="StrongEmphasis"/>
        </w:rPr>
        <w:t xml:space="preserve"> </w:t>
      </w:r>
      <w:r>
        <w:rPr/>
        <w:t>Kankuamo (</w:t>
      </w:r>
      <w:r>
        <w:rPr>
          <w:i/>
          <w:iCs/>
        </w:rPr>
        <w:t xml:space="preserve">Umunukunu); </w:t>
      </w:r>
      <w:r>
        <w:rPr>
          <w:iCs/>
        </w:rPr>
        <w:t>Kogi (</w:t>
      </w:r>
      <w:r>
        <w:rPr>
          <w:rStyle w:val="Capitems"/>
          <w:i/>
        </w:rPr>
        <w:t>Gonawindua).</w:t>
      </w:r>
    </w:p>
    <w:p>
      <w:pPr>
        <w:pStyle w:val="Normal"/>
        <w:rPr>
          <w:b/>
          <w:b/>
          <w:bCs/>
        </w:rPr>
      </w:pPr>
      <w:r>
        <w:rPr>
          <w:rStyle w:val="StrongEmphasis"/>
        </w:rPr>
        <w:t>GPS Coordinates:</w:t>
      </w:r>
      <w:r>
        <w:rPr/>
        <w:t xml:space="preserve"> </w:t>
      </w:r>
      <w:r>
        <w:rPr>
          <w:rStyle w:val="StrongEmphasis"/>
        </w:rPr>
        <w:t>10</w:t>
      </w:r>
      <w:r>
        <w:rPr>
          <w:rStyle w:val="StrongEmphasis"/>
          <w:vertAlign w:val="superscript"/>
        </w:rPr>
        <w:t>o</w:t>
      </w:r>
      <w:r>
        <w:rPr>
          <w:rStyle w:val="StrongEmphasis"/>
        </w:rPr>
        <w:t>57</w:t>
      </w:r>
      <w:r>
        <w:rPr>
          <w:rStyle w:val="StrongEmphasis"/>
          <w:rFonts w:eastAsia="Arial Unicode MS" w:cs="Courier New" w:ascii="Courier New" w:hAnsi="Courier New"/>
        </w:rPr>
        <w:t>’</w:t>
      </w:r>
      <w:r>
        <w:rPr>
          <w:rStyle w:val="StrongEmphasis"/>
        </w:rPr>
        <w:t>N, 73</w:t>
      </w:r>
      <w:r>
        <w:rPr>
          <w:rStyle w:val="StrongEmphasis"/>
          <w:vertAlign w:val="superscript"/>
        </w:rPr>
        <w:t xml:space="preserve"> o</w:t>
      </w:r>
      <w:r>
        <w:rPr>
          <w:rStyle w:val="StrongEmphasis"/>
        </w:rPr>
        <w:t xml:space="preserve"> 48</w:t>
      </w:r>
      <w:r>
        <w:rPr>
          <w:rStyle w:val="StrongEmphasis"/>
          <w:rFonts w:eastAsia="Arial Unicode MS" w:cs="Courier New" w:ascii="Courier New" w:hAnsi="Courier New"/>
        </w:rPr>
        <w:t>’</w:t>
      </w:r>
      <w:r>
        <w:rPr>
          <w:rStyle w:val="StrongEmphasis"/>
        </w:rPr>
        <w:t>W</w:t>
      </w:r>
    </w:p>
    <w:p>
      <w:pPr>
        <w:pStyle w:val="Normal"/>
        <w:rPr/>
      </w:pPr>
      <w:r>
        <w:rPr/>
        <w:object>
          <v:shape id="ole_rId6" style="width:285.25pt;height:286.2pt" o:ole="">
            <v:imagedata r:id="rId7" o:title=""/>
          </v:shape>
          <o:OLEObject Type="Embed" ProgID="" ShapeID="ole_rId6" DrawAspect="Content" ObjectID="_788094224" r:id="rId6"/>
        </w:object>
      </w:r>
    </w:p>
    <w:p>
      <w:pPr>
        <w:pStyle w:val="Normal"/>
        <w:rPr/>
      </w:pPr>
      <w:r>
        <w:rPr/>
        <w:t xml:space="preserve">Fig. 3. Map of Spanish Provinces in 1600. After </w:t>
      </w:r>
      <w:hyperlink r:id="rId8">
        <w:r>
          <w:rPr>
            <w:rStyle w:val="InternetLink"/>
          </w:rPr>
          <w:t>https://html2-f.scribdassets.com/5nmwqq7itc4aqx2e/images/6-a5a093175f.jpg</w:t>
        </w:r>
      </w:hyperlink>
      <w:r>
        <w:rPr/>
        <w:t xml:space="preserve">. Yellow place-holders mark the centers of the four Tairona cultures (in bold) as of 2017. </w:t>
      </w:r>
    </w:p>
    <w:p>
      <w:pPr>
        <w:pStyle w:val="Normal"/>
        <w:rPr>
          <w:lang w:val="en-US" w:eastAsia="en-US"/>
        </w:rPr>
      </w:pPr>
      <w:r>
        <w:rPr>
          <w:lang w:val="en-US" w:eastAsia="en-US"/>
        </w:rPr>
        <w:drawing>
          <wp:inline distT="0" distB="0" distL="0" distR="0">
            <wp:extent cx="4273550" cy="2924810"/>
            <wp:effectExtent l="0" t="0" r="0" b="0"/>
            <wp:docPr id="5"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title=""/>
                    <pic:cNvPicPr>
                      <a:picLocks noChangeAspect="1" noChangeArrowheads="1"/>
                    </pic:cNvPicPr>
                  </pic:nvPicPr>
                  <pic:blipFill>
                    <a:blip r:embed="rId9"/>
                    <a:srcRect l="-3" t="-5" r="-3" b="-5"/>
                    <a:stretch>
                      <a:fillRect/>
                    </a:stretch>
                  </pic:blipFill>
                  <pic:spPr bwMode="auto">
                    <a:xfrm>
                      <a:off x="0" y="0"/>
                      <a:ext cx="4273550" cy="2924810"/>
                    </a:xfrm>
                    <a:prstGeom prst="rect">
                      <a:avLst/>
                    </a:prstGeom>
                  </pic:spPr>
                </pic:pic>
              </a:graphicData>
            </a:graphic>
          </wp:inline>
        </w:drawing>
      </w:r>
    </w:p>
    <w:p>
      <w:pPr>
        <w:pStyle w:val="Normal"/>
        <w:rPr/>
      </w:pPr>
      <w:r>
        <w:rPr/>
        <w:t xml:space="preserve">Fig. 4. Topographic map of the Sierra Nevada of </w:t>
      </w:r>
      <w:r>
        <w:rPr>
          <w:sz w:val="20"/>
          <w:szCs w:val="20"/>
        </w:rPr>
        <w:t>NE</w:t>
      </w:r>
      <w:r>
        <w:rPr/>
        <w:t xml:space="preserve"> Colombia. From Reichel-Dolmatoff 1950.</w:t>
      </w:r>
    </w:p>
    <w:p>
      <w:pPr>
        <w:pStyle w:val="Normal"/>
        <w:rPr/>
      </w:pPr>
      <w:r>
        <w:rPr/>
      </w:r>
    </w:p>
    <w:p>
      <w:pPr>
        <w:pStyle w:val="Normal"/>
        <w:rPr/>
      </w:pPr>
      <w:r>
        <w:rPr>
          <w:rStyle w:val="StrongEmphasis"/>
        </w:rPr>
        <w:t>Cultural Affiliation:</w:t>
      </w:r>
      <w:r>
        <w:rPr/>
        <w:t xml:space="preserve"> Tairona, Chibcha Language Family</w:t>
      </w:r>
    </w:p>
    <w:p>
      <w:pPr>
        <w:pStyle w:val="Normal"/>
        <w:rPr/>
      </w:pPr>
      <w:r>
        <w:rPr>
          <w:rStyle w:val="StrongEmphasis"/>
        </w:rPr>
        <w:t>Medium:</w:t>
      </w:r>
      <w:r>
        <w:rPr/>
        <w:t xml:space="preserve"> Lost-wax cast of tumbaga, an alloy of gold and copper. Its surface was subsequently enriched by the depletion method, also known as </w:t>
      </w:r>
      <w:r>
        <w:rPr>
          <w:i/>
        </w:rPr>
        <w:t>mise-en-couleur</w:t>
      </w:r>
      <w:r>
        <w:rPr/>
        <w:t>.</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Tairona villages</w:t>
      </w:r>
    </w:p>
    <w:p>
      <w:pPr>
        <w:pStyle w:val="Normal"/>
        <w:rPr/>
      </w:pPr>
      <w:r>
        <w:rPr>
          <w:b/>
        </w:rPr>
        <w:t xml:space="preserve">Discussion: </w:t>
      </w:r>
      <w:r>
        <w:rPr/>
        <w:t>The bat in Tairona mythology,</w:t>
      </w:r>
      <w:r>
        <w:rPr>
          <w:bCs/>
        </w:rPr>
        <w:t xml:space="preserve"> Nurlitaba,</w:t>
      </w:r>
      <w:r>
        <w:rPr/>
        <w:t xml:space="preserve"> the son of Mulkuexe, the Sun, allows Woman to begin child-bearing and therefore the anthropomorphic bat has an important place in Tairona mythology (see Legast 1989). </w:t>
      </w:r>
    </w:p>
    <w:p>
      <w:pPr>
        <w:pStyle w:val="Normal"/>
        <w:rPr>
          <w:b/>
          <w:b/>
          <w:bCs/>
        </w:rPr>
      </w:pPr>
      <w:r>
        <w:rPr>
          <w:b/>
        </w:rPr>
        <w:t xml:space="preserve">Discussion: </w:t>
      </w:r>
    </w:p>
    <w:p>
      <w:pPr>
        <w:pStyle w:val="Normal"/>
        <w:rPr/>
      </w:pPr>
      <w:r>
        <w:rPr/>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pPr>
        <w:pStyle w:val="Normal"/>
        <w:rPr/>
      </w:pPr>
      <w:r>
        <w:rPr/>
        <w:tab/>
        <w:t>These trails continued a desire to maintain trade and exchange with neighboring areas that they had developed for precious gems such as greenstone beads of the variscite-group minerals from Gran Roque Island and Barquimeto (Acevedo et al. 2017).</w:t>
      </w:r>
    </w:p>
    <w:p>
      <w:pPr>
        <w:pStyle w:val="Normal"/>
        <w:rPr>
          <w:lang w:val="en-US" w:eastAsia="en-US"/>
        </w:rPr>
      </w:pPr>
      <w:r>
        <w:rPr>
          <w:lang w:val="en-US" w:eastAsia="en-US"/>
        </w:rPr>
        <w:drawing>
          <wp:inline distT="0" distB="0" distL="0" distR="0">
            <wp:extent cx="3090545" cy="962025"/>
            <wp:effectExtent l="0" t="0" r="0" b="0"/>
            <wp:docPr id="6"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 title=""/>
                    <pic:cNvPicPr>
                      <a:picLocks noChangeAspect="1" noChangeArrowheads="1"/>
                    </pic:cNvPicPr>
                  </pic:nvPicPr>
                  <pic:blipFill>
                    <a:blip r:embed="rId10"/>
                    <a:srcRect l="-5" t="-17" r="-5" b="-17"/>
                    <a:stretch>
                      <a:fillRect/>
                    </a:stretch>
                  </pic:blipFill>
                  <pic:spPr bwMode="auto">
                    <a:xfrm>
                      <a:off x="0" y="0"/>
                      <a:ext cx="3090545" cy="962025"/>
                    </a:xfrm>
                    <a:prstGeom prst="rect">
                      <a:avLst/>
                    </a:prstGeom>
                  </pic:spPr>
                </pic:pic>
              </a:graphicData>
            </a:graphic>
          </wp:inline>
        </w:drawing>
      </w:r>
    </w:p>
    <w:p>
      <w:pPr>
        <w:pStyle w:val="Normal"/>
        <w:rPr/>
      </w:pPr>
      <w:r>
        <w:rPr/>
        <w:t>Fig. 5. |__________| 300 km</w:t>
      </w:r>
      <w:r>
        <w:rPr/>
        <w:object>
          <v:shape id="ole_rId11" style="width:54.65pt;height:1.25pt" o:ole="">
            <v:imagedata r:id="rId12" o:title=""/>
          </v:shape>
          <o:OLEObject Type="Embed" ProgID="" ShapeID="ole_rId11" DrawAspect="Content" ObjectID="_860034706" r:id="rId11"/>
        </w:object>
      </w:r>
    </w:p>
    <w:p>
      <w:pPr>
        <w:pStyle w:val="Normal"/>
        <w:rPr/>
      </w:pPr>
      <w:r>
        <w:rPr/>
        <w:t>Map of Tairona trade routes from Gran Roque Island and Barquismeto. After Acevedo et al. 2016, fig. 7.</w:t>
      </w:r>
    </w:p>
    <w:p>
      <w:pPr>
        <w:pStyle w:val="Normal"/>
        <w:rPr/>
      </w:pPr>
      <w:r>
        <w:rPr/>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pPr>
        <w:pStyle w:val="Normal"/>
        <w:rPr/>
      </w:pPr>
      <w:r>
        <w:rPr/>
        <w:t> </w:t>
      </w:r>
      <w:r>
        <w:rPr>
          <w:rFonts w:eastAsia="Times New Roman"/>
        </w:rPr>
        <w:t xml:space="preserve"> </w:t>
      </w:r>
      <w:r>
        <w:rPr/>
        <w:t>“</w:t>
      </w:r>
      <w:r>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pPr>
        <w:pStyle w:val="NormalWeb"/>
        <w:shd w:fill="FFFFFF" w:val="clear"/>
        <w:spacing w:before="120" w:after="120"/>
        <w:rPr/>
      </w:pPr>
      <w:r>
        <w:rPr/>
        <w:tab/>
      </w:r>
      <w:r>
        <w:rPr>
          <w:color w:val="222222"/>
        </w:rPr>
        <w:t xml:space="preserve">Only in 1965 did Colombian archaeologists uncover a previously unrecorded mountain trail of 1,200 steps in the rain forest on the slopes of </w:t>
      </w:r>
      <w:r>
        <w:rPr/>
        <w:t>Sierra Nevada de Santa Marta</w:t>
      </w:r>
      <w:r>
        <w:rPr>
          <w:color w:val="222222"/>
        </w:rPr>
        <w:t xml:space="preserve">, which led to an ancient abandoned city (“Ciudad Perdida”; </w:t>
      </w:r>
      <w:r>
        <w:rPr/>
        <w:t>11°02'22.9"N 73°55'33.8"W</w:t>
      </w:r>
      <w:r>
        <w:rPr>
          <w:color w:val="222222"/>
        </w:rPr>
        <w:t xml:space="preserve">) where gold figurines and ceramic urns were later unearthed. Tairona descendants—the Arhuaco and the Kogi—re-called the site which they called “Teyuna” with its series of 169 terraces and several small circular plazas. </w:t>
      </w:r>
    </w:p>
    <w:p>
      <w:pPr>
        <w:pStyle w:val="NormalWeb"/>
        <w:shd w:fill="FFFFFF" w:val="clear"/>
        <w:spacing w:before="120" w:after="120"/>
        <w:rPr/>
      </w:pPr>
      <w:r>
        <w:rPr>
          <w:color w:val="222222"/>
        </w:rPr>
        <w:tab/>
        <w:t xml:space="preserve">Within Teyuna the open, permeable system of unstructured staircases allowed all to participate in a visual and social equality in which the display of gold appurtenances and valued feather headdresses denoted </w:t>
      </w:r>
      <w:r>
        <w:rP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Pr>
          <w:vertAlign w:val="superscript"/>
        </w:rPr>
        <w:t>th</w:t>
      </w:r>
      <w:r>
        <w:rP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Pr>
          <w:i/>
        </w:rPr>
        <w:t>chichi</w:t>
      </w:r>
      <w:r>
        <w:rPr/>
        <w:t xml:space="preserve">. </w:t>
      </w:r>
    </w:p>
    <w:p>
      <w:pPr>
        <w:pStyle w:val="NormalWeb"/>
        <w:shd w:fill="FFFFFF" w:val="clear"/>
        <w:spacing w:before="120" w:after="120"/>
        <w:rPr/>
      </w:pPr>
      <w:r>
        <w:rPr/>
      </w:r>
    </w:p>
    <w:p>
      <w:pPr>
        <w:pStyle w:val="NormalWeb"/>
        <w:shd w:fill="FFFFFF" w:val="clear"/>
        <w:spacing w:before="120" w:after="120"/>
        <w:rPr/>
      </w:pPr>
      <w:r>
        <w:rPr>
          <w:lang w:val="en-US" w:eastAsia="en-US"/>
        </w:rPr>
        <w:drawing>
          <wp:inline distT="0" distB="0" distL="0" distR="0">
            <wp:extent cx="6861810" cy="3706495"/>
            <wp:effectExtent l="0" t="0" r="0" b="0"/>
            <wp:docPr id="7"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 title=""/>
                    <pic:cNvPicPr>
                      <a:picLocks noChangeAspect="1" noChangeArrowheads="1"/>
                    </pic:cNvPicPr>
                  </pic:nvPicPr>
                  <pic:blipFill>
                    <a:blip r:embed="rId13"/>
                    <a:srcRect l="-4" t="-7" r="-4" b="-7"/>
                    <a:stretch>
                      <a:fillRect/>
                    </a:stretch>
                  </pic:blipFill>
                  <pic:spPr bwMode="auto">
                    <a:xfrm>
                      <a:off x="0" y="0"/>
                      <a:ext cx="6861810" cy="3706495"/>
                    </a:xfrm>
                    <a:prstGeom prst="rect">
                      <a:avLst/>
                    </a:prstGeom>
                  </pic:spPr>
                </pic:pic>
              </a:graphicData>
            </a:graphic>
          </wp:inline>
        </w:drawing>
      </w:r>
      <w:r>
        <w:rPr>
          <w:rFonts w:eastAsia="Times New Roman"/>
        </w:rPr>
        <w:t xml:space="preserve"> </w:t>
      </w:r>
    </w:p>
    <w:p>
      <w:pPr>
        <w:pStyle w:val="NormalWeb"/>
        <w:shd w:fill="FFFFFF" w:val="clear"/>
        <w:spacing w:before="120" w:after="120"/>
        <w:rPr/>
      </w:pPr>
      <w:r>
        <w:rPr/>
        <w:t xml:space="preserve">Fig. 7. Double-spouted </w:t>
      </w:r>
      <w:r>
        <w:rPr>
          <w:i/>
        </w:rPr>
        <w:t xml:space="preserve">chichi </w:t>
      </w:r>
      <w:r>
        <w:rPr/>
        <w:t xml:space="preserve">vessel restored, after Mason 1931, plate CLXXI. Illustrating Great Mother Creator, </w:t>
      </w:r>
      <w:r>
        <w:rPr>
          <w:rStyle w:val="Emphasis"/>
        </w:rPr>
        <w:t>Gaulcováng</w:t>
      </w:r>
      <w:r>
        <w:rPr/>
        <w:t xml:space="preserve"> and Her children -- Lords of the Cosmos, </w:t>
      </w:r>
      <w:r>
        <w:rPr>
          <w:rStyle w:val="Emphasis"/>
        </w:rPr>
        <w:t xml:space="preserve">Seokúkui </w:t>
      </w:r>
      <w:r>
        <w:rPr/>
        <w:t xml:space="preserve">and </w:t>
      </w:r>
      <w:r>
        <w:rPr>
          <w:rStyle w:val="Emphasis"/>
        </w:rPr>
        <w:t>Seizankwa.</w:t>
      </w:r>
    </w:p>
    <w:p>
      <w:pPr>
        <w:pStyle w:val="NormalWeb"/>
        <w:shd w:fill="FFFFFF" w:val="clear"/>
        <w:spacing w:before="120" w:after="120"/>
        <w:rPr>
          <w:color w:val="222222"/>
        </w:rPr>
      </w:pPr>
      <w:r>
        <w:rP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pPr>
        <w:pStyle w:val="NormalWeb"/>
        <w:shd w:fill="FFFFFF" w:val="clear"/>
        <w:spacing w:before="120" w:after="120"/>
        <w:rPr>
          <w:color w:val="222222"/>
        </w:rPr>
      </w:pPr>
      <w:r>
        <w:rPr>
          <w:lang w:val="en-US" w:eastAsia="en-US"/>
        </w:rPr>
        <w:drawing>
          <wp:inline distT="0" distB="0" distL="0" distR="0">
            <wp:extent cx="6856095" cy="4248785"/>
            <wp:effectExtent l="0" t="0" r="0" b="0"/>
            <wp:docPr id="8"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 title=""/>
                    <pic:cNvPicPr>
                      <a:picLocks noChangeAspect="1" noChangeArrowheads="1"/>
                    </pic:cNvPicPr>
                  </pic:nvPicPr>
                  <pic:blipFill>
                    <a:blip r:embed="rId14"/>
                    <a:srcRect l="-5" t="-9" r="-5" b="-9"/>
                    <a:stretch>
                      <a:fillRect/>
                    </a:stretch>
                  </pic:blipFill>
                  <pic:spPr bwMode="auto">
                    <a:xfrm>
                      <a:off x="0" y="0"/>
                      <a:ext cx="6856095" cy="4248785"/>
                    </a:xfrm>
                    <a:prstGeom prst="rect">
                      <a:avLst/>
                    </a:prstGeom>
                  </pic:spPr>
                </pic:pic>
              </a:graphicData>
            </a:graphic>
          </wp:inline>
        </w:drawing>
      </w:r>
    </w:p>
    <w:p>
      <w:pPr>
        <w:pStyle w:val="NormalWeb"/>
        <w:shd w:fill="FFFFFF" w:val="clear"/>
        <w:spacing w:before="120" w:after="120"/>
        <w:rPr>
          <w:color w:val="222222"/>
        </w:rPr>
      </w:pPr>
      <w:r>
        <w:rPr>
          <w:lang w:val="en-US" w:eastAsia="en-US"/>
        </w:rPr>
        <w:drawing>
          <wp:inline distT="0" distB="0" distL="0" distR="0">
            <wp:extent cx="1419860" cy="255270"/>
            <wp:effectExtent l="0" t="0" r="0" b="0"/>
            <wp:docPr id="9" name="Pictur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 title=""/>
                    <pic:cNvPicPr>
                      <a:picLocks noChangeAspect="1" noChangeArrowheads="1"/>
                    </pic:cNvPicPr>
                  </pic:nvPicPr>
                  <pic:blipFill>
                    <a:blip r:embed="rId15"/>
                    <a:srcRect l="-29" t="-110" r="-29" b="-110"/>
                    <a:stretch>
                      <a:fillRect/>
                    </a:stretch>
                  </pic:blipFill>
                  <pic:spPr bwMode="auto">
                    <a:xfrm>
                      <a:off x="0" y="0"/>
                      <a:ext cx="1419860" cy="255270"/>
                    </a:xfrm>
                    <a:prstGeom prst="rect">
                      <a:avLst/>
                    </a:prstGeom>
                  </pic:spPr>
                </pic:pic>
              </a:graphicData>
            </a:graphic>
          </wp:inline>
        </w:drawing>
      </w:r>
    </w:p>
    <w:p>
      <w:pPr>
        <w:pStyle w:val="NormalWeb"/>
        <w:shd w:fill="FFFFFF" w:val="clear"/>
        <w:spacing w:before="120" w:after="120"/>
        <w:rPr/>
      </w:pPr>
      <w:r>
        <w:rPr/>
        <w:t>Fig. 8.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pPr>
        <w:pStyle w:val="NormalWeb"/>
        <w:shd w:fill="FFFFFF" w:val="clear"/>
        <w:spacing w:before="120" w:after="120"/>
        <w:rPr>
          <w:color w:val="222222"/>
        </w:rPr>
      </w:pPr>
      <w:r>
        <w:rPr>
          <w:lang w:val="en-US" w:eastAsia="en-US"/>
        </w:rPr>
        <w:drawing>
          <wp:inline distT="0" distB="0" distL="0" distR="0">
            <wp:extent cx="4848225" cy="2653030"/>
            <wp:effectExtent l="0" t="0" r="0" b="0"/>
            <wp:docPr id="10"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 title=""/>
                    <pic:cNvPicPr>
                      <a:picLocks noChangeAspect="1" noChangeArrowheads="1"/>
                    </pic:cNvPicPr>
                  </pic:nvPicPr>
                  <pic:blipFill>
                    <a:blip r:embed="rId16"/>
                    <a:srcRect l="-3" t="-6" r="-3" b="-6"/>
                    <a:stretch>
                      <a:fillRect/>
                    </a:stretch>
                  </pic:blipFill>
                  <pic:spPr bwMode="auto">
                    <a:xfrm>
                      <a:off x="0" y="0"/>
                      <a:ext cx="4848225" cy="2653030"/>
                    </a:xfrm>
                    <a:prstGeom prst="rect">
                      <a:avLst/>
                    </a:prstGeom>
                  </pic:spPr>
                </pic:pic>
              </a:graphicData>
            </a:graphic>
          </wp:inline>
        </w:drawing>
      </w:r>
    </w:p>
    <w:p>
      <w:pPr>
        <w:pStyle w:val="NormalWeb"/>
        <w:shd w:fill="FFFFFF" w:val="clear"/>
        <w:spacing w:before="120" w:after="120"/>
        <w:rPr/>
      </w:pPr>
      <w:r>
        <w:rPr>
          <w:color w:val="222222"/>
        </w:rPr>
        <w:t>Fig. 9. Sign posted on the entryway to an Arhuaco village stating “The entry of non-indigenous people is prohibited …”.  From http://assets.survivalinternational.org/pictures/2021/img-2313_screen.jpg.</w:t>
      </w:r>
    </w:p>
    <w:p>
      <w:pPr>
        <w:pStyle w:val="NormalWeb"/>
        <w:shd w:fill="FFFFFF" w:val="clear"/>
        <w:spacing w:before="120" w:after="120"/>
        <w:rPr>
          <w:b/>
          <w:b/>
          <w:color w:val="222222"/>
        </w:rPr>
      </w:pPr>
      <w:r>
        <w:rPr>
          <w:b/>
          <w:color w:val="222222"/>
        </w:rPr>
        <w:t>Kogi</w:t>
      </w:r>
    </w:p>
    <w:p>
      <w:pPr>
        <w:pStyle w:val="NormalWeb"/>
        <w:shd w:fill="FFFFFF" w:val="clear"/>
        <w:spacing w:before="120" w:after="120"/>
        <w:rPr/>
      </w:pPr>
      <w:r>
        <w:rPr/>
        <w:t xml:space="preserve">Kogi philosophy is based on </w:t>
      </w:r>
      <w:r>
        <w:rPr>
          <w:i/>
        </w:rPr>
        <w:t>aluna</w:t>
      </w:r>
      <w:r>
        <w:rPr/>
        <w:t xml:space="preserve">, cosmic harmony. The Great Mother Creator, </w:t>
      </w:r>
      <w:r>
        <w:rPr>
          <w:rStyle w:val="Emphasis"/>
        </w:rPr>
        <w:t>Gaulcováng</w:t>
      </w:r>
      <w:r>
        <w:rPr/>
        <w:t xml:space="preserve"> (from </w:t>
      </w:r>
      <w:r>
        <w:rPr>
          <w:rStyle w:val="Emphasis"/>
        </w:rPr>
        <w:t>gau</w:t>
      </w:r>
      <w:r>
        <w:rPr/>
        <w:t xml:space="preserve"> – “to create”), has many manifestations, such as </w:t>
      </w:r>
      <w:r>
        <w:rPr>
          <w:rStyle w:val="StrongEmphasis"/>
          <w:i/>
        </w:rPr>
        <w:t>Hába Guxsénse</w:t>
      </w:r>
      <w:r>
        <w:rPr/>
        <w:t xml:space="preserve">, “Mother of the Eternal Fire,” and </w:t>
      </w:r>
      <w:r>
        <w:rPr>
          <w:rStyle w:val="Emphasis"/>
        </w:rPr>
        <w:t>Málkwa-yang,</w:t>
      </w:r>
      <w:r>
        <w:rPr/>
        <w:t xml:space="preserve"> “Mother of the Knowledge of Weaving.” Her children -- Lords of the Cosmos, </w:t>
      </w:r>
      <w:r>
        <w:rPr>
          <w:rStyle w:val="Emphasis"/>
        </w:rPr>
        <w:t xml:space="preserve">Seokúkui </w:t>
      </w:r>
      <w:r>
        <w:rPr/>
        <w:t xml:space="preserve">and </w:t>
      </w:r>
      <w:r>
        <w:rPr>
          <w:rStyle w:val="Emphasis"/>
        </w:rPr>
        <w:t>Seizankwa</w:t>
      </w:r>
      <w:r>
        <w:rPr/>
        <w:t xml:space="preserve"> -- carry </w:t>
      </w:r>
      <w:r>
        <w:rPr>
          <w:rStyle w:val="Emphasis"/>
        </w:rPr>
        <w:t>Gaulcováng’s</w:t>
      </w:r>
      <w:r>
        <w:rPr/>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cosmic balance.</w:t>
      </w:r>
    </w:p>
    <w:p>
      <w:pPr>
        <w:pStyle w:val="NormalWeb"/>
        <w:shd w:fill="FFFFFF" w:val="clear"/>
        <w:spacing w:before="120" w:after="120"/>
        <w:rPr/>
      </w:pPr>
      <w:r>
        <w:rPr/>
        <w:t>The Kogi Cosmic Egg is composed of nine worlds that correspond to the nine months of human gestation (Tairona 2015).</w:t>
      </w:r>
    </w:p>
    <w:p>
      <w:pPr>
        <w:pStyle w:val="NormalWeb"/>
        <w:spacing w:before="0" w:after="0"/>
        <w:jc w:val="center"/>
        <w:rPr>
          <w:lang w:val="en-US" w:eastAsia="en-US"/>
        </w:rPr>
      </w:pPr>
      <w:r>
        <w:rPr>
          <w:lang w:val="en-US" w:eastAsia="en-US"/>
        </w:rPr>
        <w:drawing>
          <wp:inline distT="0" distB="0" distL="0" distR="0">
            <wp:extent cx="4781550" cy="2787650"/>
            <wp:effectExtent l="0" t="0" r="0" b="0"/>
            <wp:docPr id="11" name="Pictur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title=""/>
                    <pic:cNvPicPr>
                      <a:picLocks noChangeAspect="1" noChangeArrowheads="1"/>
                    </pic:cNvPicPr>
                  </pic:nvPicPr>
                  <pic:blipFill>
                    <a:blip r:embed="rId17"/>
                    <a:srcRect l="-10" t="-17" r="-10" b="-17"/>
                    <a:stretch>
                      <a:fillRect/>
                    </a:stretch>
                  </pic:blipFill>
                  <pic:spPr bwMode="auto">
                    <a:xfrm>
                      <a:off x="0" y="0"/>
                      <a:ext cx="4781550" cy="2787650"/>
                    </a:xfrm>
                    <a:prstGeom prst="rect">
                      <a:avLst/>
                    </a:prstGeom>
                  </pic:spPr>
                </pic:pic>
              </a:graphicData>
            </a:graphic>
          </wp:inline>
        </w:drawing>
      </w:r>
    </w:p>
    <w:p>
      <w:pPr>
        <w:pStyle w:val="Normal"/>
        <w:jc w:val="center"/>
        <w:rPr/>
      </w:pPr>
      <w:r>
        <w:rPr/>
        <w:t xml:space="preserve">Fig.  10. Structure of the Kogi Cosmic Egg. Based on Reichel-Dolmatoff 1978, from Tairona 2015. </w:t>
      </w:r>
    </w:p>
    <w:p>
      <w:pPr>
        <w:pStyle w:val="Normal"/>
        <w:rPr/>
      </w:pPr>
      <w:r>
        <w:rPr/>
      </w:r>
    </w:p>
    <w:p>
      <w:pPr>
        <w:pStyle w:val="Normal"/>
        <w:rPr>
          <w:b/>
          <w:b/>
        </w:rPr>
      </w:pPr>
      <w:r>
        <w:rPr>
          <w:b/>
        </w:rPr>
        <w:t>Arhuaco</w:t>
      </w:r>
    </w:p>
    <w:p>
      <w:pPr>
        <w:pStyle w:val="Normal"/>
        <w:rPr/>
      </w:pPr>
      <w:r>
        <w:rPr/>
        <w:t>Arhuacos’ philosophy is based on Kunsamü -- a sacred, pre-existent, Universal Law that aims to preserve equilibrium and harmony among all beings and is represented by a child, the Máma Niankua. This Law gives rise to the creation of matter and its evolution, balance, preservation and harmony, which constitute the fundamental objectives and the raison d'être of the Mámas (priests), the spiritual authorities of Arhuaco society.</w:t>
      </w:r>
    </w:p>
    <w:p>
      <w:pPr>
        <w:pStyle w:val="Normal"/>
        <w:rPr/>
      </w:pPr>
      <w:r>
        <w:rPr/>
        <w:tab/>
        <w:t>Each Arhuaco Máma is selected from candidates eight to ten years old and each receives an education that lasts at least 9 to 15 years. Extended study allows specialization as philosophers, priests, doctors and practical advisers for individuals and communities. Their influence is decisive in the life of each person and in society.</w:t>
      </w:r>
    </w:p>
    <w:p>
      <w:pPr>
        <w:pStyle w:val="Normal"/>
        <w:rPr/>
      </w:pPr>
      <w:r>
        <w:rPr/>
        <w:tab/>
        <w:t xml:space="preserve">The main myth of the Arhuaco relates how the Father-Creator Kakü Serankua, in the beginning, created the Chundúa, the highest snow-covered peak (which the Spanish named the “peak of Christopher Columbus,” “Pico de Cristobal Colon,” to de-sacralize it). The Spanish also named the central massif “Sierra Nevada de Santa Marta” but its Arhuaco name is Umunukunu in the Iku language, the “Heart of the World”. Kakü Serankua also created the first gods, and the first men -- the Elder Brothers – the Taironas -- and bestowed upon them the duty of protecting the Earth. 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 Umunukunu has an anthropomorphic being, with the highest peak, Chundúa, corresponding to its head, the lagoons and lakes below to its heart, the rivers and streams to its veins, the layers of soil to its muscles, and the scrublands to its hair. </w:t>
      </w:r>
    </w:p>
    <w:p>
      <w:pPr>
        <w:pStyle w:val="Normal"/>
        <w:rPr/>
      </w:pPr>
      <w:r>
        <w:rPr/>
        <w:t>The Arhuaco community is divided into five divisions:</w:t>
      </w:r>
    </w:p>
    <w:p>
      <w:pPr>
        <w:pStyle w:val="Normal"/>
        <w:rPr/>
      </w:pPr>
      <w:r>
        <w:rPr/>
      </w:r>
    </w:p>
    <w:tbl>
      <w:tblPr>
        <w:tblW w:w="9564" w:type="dxa"/>
        <w:jc w:val="start"/>
        <w:tblInd w:w="-118" w:type="dxa"/>
        <w:tblBorders>
          <w:top w:val="single" w:sz="8" w:space="0" w:color="000000"/>
          <w:start w:val="single" w:sz="8" w:space="0" w:color="000000"/>
          <w:bottom w:val="single" w:sz="8" w:space="0" w:color="000000"/>
          <w:insideH w:val="single" w:sz="8" w:space="0" w:color="000000"/>
        </w:tblBorders>
        <w:tblCellMar>
          <w:top w:w="0" w:type="dxa"/>
          <w:start w:w="108" w:type="dxa"/>
          <w:bottom w:w="0" w:type="dxa"/>
          <w:end w:w="108" w:type="dxa"/>
        </w:tblCellMar>
      </w:tblPr>
      <w:tblGrid>
        <w:gridCol w:w="4772"/>
        <w:gridCol w:w="4792"/>
      </w:tblGrid>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Central zone</w:t>
            </w:r>
          </w:p>
        </w:tc>
        <w:tc>
          <w:tcPr>
            <w:tcW w:w="479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Nabusimake capital of the Arhuacos yechikin and Busín</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Western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Serankua, Windiwameina and Singuenei</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Zigta, Yeurwua, Gumuke, Yeiwin, Seiarukwingumu, Buyuaguenka and Simonorwua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Wirwua, Yugaka and Karwua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Sogrome, Donachwi,</w:t>
            </w:r>
          </w:p>
          <w:p>
            <w:pPr>
              <w:pStyle w:val="Normal"/>
              <w:rPr/>
            </w:pPr>
            <w:r>
              <w:rPr/>
              <w:t>Timaka, Aruamake, Seinimin and Izrwua</w:t>
            </w:r>
          </w:p>
        </w:tc>
      </w:tr>
    </w:tbl>
    <w:p>
      <w:pPr>
        <w:pStyle w:val="Normal"/>
        <w:rPr/>
      </w:pPr>
      <w:r>
        <w:rPr/>
      </w:r>
    </w:p>
    <w:p>
      <w:pPr>
        <w:pStyle w:val="Normal"/>
        <w:rPr/>
      </w:pPr>
      <w:r>
        <w:rPr/>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pPr>
        <w:pStyle w:val="Normal"/>
        <w:rPr/>
      </w:pPr>
      <w:r>
        <w:rP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pPr>
        <w:pStyle w:val="Normal"/>
        <w:rPr/>
      </w:pPr>
      <w:r>
        <w:rPr/>
      </w:r>
    </w:p>
    <w:p>
      <w:pPr>
        <w:pStyle w:val="Normal"/>
        <w:rPr>
          <w:b/>
          <w:b/>
        </w:rPr>
      </w:pPr>
      <w:r>
        <w:rPr>
          <w:b/>
        </w:rPr>
        <w:t>References</w:t>
      </w:r>
    </w:p>
    <w:p>
      <w:pPr>
        <w:pStyle w:val="Normal"/>
        <w:rPr>
          <w:b/>
          <w:b/>
        </w:rPr>
      </w:pPr>
      <w:r>
        <w:rPr>
          <w:b/>
        </w:rPr>
      </w:r>
    </w:p>
    <w:p>
      <w:pPr>
        <w:pStyle w:val="Normal"/>
        <w:rPr/>
      </w:pPr>
      <w:r>
        <w:rPr>
          <w:rStyle w:val="Referencetext"/>
        </w:rPr>
        <w:t>Adelaar, Willem F. H. and Pieter Muysken. 2004</w:t>
      </w:r>
      <w:r>
        <w:rPr>
          <w:color w:val="000000"/>
        </w:rPr>
        <w:t xml:space="preserve">. </w:t>
      </w:r>
      <w:r>
        <w:rPr>
          <w:rFonts w:cs="Arial" w:ascii="Arial" w:hAnsi="Arial"/>
          <w:color w:val="545454"/>
          <w:shd w:fill="FFFFFF" w:val="clear"/>
        </w:rPr>
        <w:t> </w:t>
      </w:r>
      <w:r>
        <w:rPr>
          <w:i/>
        </w:rPr>
        <w:t>The Languages of the Andes</w:t>
      </w:r>
      <w:r>
        <w:rPr/>
        <w:t xml:space="preserve">. </w:t>
      </w:r>
      <w:r>
        <w:rPr>
          <w:rStyle w:val="Referencetext"/>
        </w:rPr>
        <w:t xml:space="preserve">Cambridge: </w:t>
      </w:r>
      <w:hyperlink r:id="rId18">
        <w:r>
          <w:rPr>
            <w:rStyle w:val="InternetLink"/>
            <w:color w:val="000000"/>
          </w:rPr>
          <w:t>Cambridge University Press</w:t>
        </w:r>
      </w:hyperlink>
      <w:r>
        <w:rPr>
          <w:color w:val="000000"/>
        </w:rPr>
        <w:t>.</w:t>
      </w:r>
    </w:p>
    <w:p>
      <w:pPr>
        <w:pStyle w:val="Normal"/>
        <w:rPr>
          <w:color w:val="000000"/>
        </w:rPr>
      </w:pPr>
      <w:r>
        <w:rPr>
          <w:color w:val="000000"/>
        </w:rPr>
      </w:r>
    </w:p>
    <w:p>
      <w:pPr>
        <w:pStyle w:val="Normal"/>
        <w:rPr/>
      </w:pPr>
      <w:r>
        <w:rPr/>
        <w:t xml:space="preserve">Bischof, Henning. 1961. “News Report,” </w:t>
      </w:r>
      <w:r>
        <w:rPr>
          <w:i/>
        </w:rPr>
        <w:t>Katunob</w:t>
      </w:r>
      <w:r>
        <w:rPr/>
        <w:t xml:space="preserve"> 2, 3: 41-45. </w:t>
      </w:r>
    </w:p>
    <w:p>
      <w:pPr>
        <w:pStyle w:val="Normal"/>
        <w:rPr/>
      </w:pPr>
      <w:r>
        <w:rPr/>
      </w:r>
    </w:p>
    <w:p>
      <w:pPr>
        <w:pStyle w:val="Normal"/>
        <w:rPr/>
      </w:pPr>
      <w:r>
        <w:rPr/>
        <w:t xml:space="preserve">1968a. “Contribuciones a la cronología de la Cultura Tairona, Sierra Nevada de Santa Marta.” In </w:t>
      </w:r>
      <w:r>
        <w:rPr>
          <w:i/>
        </w:rPr>
        <w:t>Proceeedings of the 38th International Congress of Americanists</w:t>
      </w:r>
      <w:r>
        <w:rPr/>
        <w:t xml:space="preserve">, pp. 259-269. Stuttgart. </w:t>
      </w:r>
    </w:p>
    <w:p>
      <w:pPr>
        <w:pStyle w:val="Normal"/>
        <w:rPr/>
      </w:pPr>
      <w:r>
        <w:rPr/>
      </w:r>
    </w:p>
    <w:p>
      <w:pPr>
        <w:pStyle w:val="Normal"/>
        <w:rPr/>
      </w:pPr>
      <w:r>
        <w:rPr/>
        <w:t xml:space="preserve">1968b. “La Cultura Tairona en el Area Intermedia.” In </w:t>
      </w:r>
      <w:r>
        <w:rPr>
          <w:i/>
        </w:rPr>
        <w:t>Proceedings of the 38th International Congress of Americanists</w:t>
      </w:r>
      <w:r>
        <w:rPr/>
        <w:t xml:space="preserve">, pp. 271-280. Stuttgart. </w:t>
      </w:r>
    </w:p>
    <w:p>
      <w:pPr>
        <w:pStyle w:val="Normal"/>
        <w:rPr/>
      </w:pPr>
      <w:r>
        <w:rPr/>
      </w:r>
    </w:p>
    <w:p>
      <w:pPr>
        <w:pStyle w:val="Normal"/>
        <w:rPr/>
      </w:pPr>
      <w:r>
        <w:rPr/>
        <w:t xml:space="preserve">1971. “Die Spanisch-Indianische Auseinandersetzung in Der Nördlichen Sierra Nevada De Santa Marta (1501-1600)”. Bonner amerikanistische Studien 1. Bonn. PhD Dissertation </w:t>
      </w:r>
    </w:p>
    <w:p>
      <w:pPr>
        <w:pStyle w:val="Normal"/>
        <w:rPr/>
      </w:pPr>
      <w:r>
        <w:rPr/>
      </w:r>
    </w:p>
    <w:p>
      <w:pPr>
        <w:pStyle w:val="Normal"/>
        <w:rPr/>
      </w:pPr>
      <w:r>
        <w:rPr>
          <w:color w:val="000000"/>
        </w:rPr>
        <w:t xml:space="preserve">1972. “Una coleccion etnografica de la Sierra Nevada de Santa Marta (Colombia) – Siglo XVII,” </w:t>
      </w:r>
      <w:r>
        <w:rPr>
          <w:i/>
          <w:color w:val="000000"/>
        </w:rPr>
        <w:t>Atti XL Congresso Internationale degli Americanisti</w:t>
      </w:r>
      <w:r>
        <w:rPr>
          <w:color w:val="000000"/>
        </w:rPr>
        <w:t>. Roma-Genova, pp. 391-398.</w:t>
      </w:r>
    </w:p>
    <w:p>
      <w:pPr>
        <w:pStyle w:val="Normal"/>
        <w:rPr>
          <w:color w:val="000000"/>
        </w:rPr>
      </w:pPr>
      <w:r>
        <w:rPr>
          <w:color w:val="000000"/>
        </w:rPr>
      </w:r>
    </w:p>
    <w:p>
      <w:pPr>
        <w:pStyle w:val="Normal"/>
        <w:rPr>
          <w:color w:val="000000"/>
        </w:rPr>
      </w:pPr>
      <w:r>
        <w:rPr/>
        <w:t xml:space="preserve">1983. “Indígenas y españoles en la Sierra Nevada de Santa Marta, siglo XVI,” </w:t>
      </w:r>
      <w:r>
        <w:rPr>
          <w:i/>
        </w:rPr>
        <w:t>Revista Colombiana de Antropología</w:t>
      </w:r>
      <w:r>
        <w:rPr/>
        <w:t xml:space="preserve"> 24: 75-124.</w:t>
      </w:r>
    </w:p>
    <w:p>
      <w:pPr>
        <w:pStyle w:val="Normal"/>
        <w:rPr>
          <w:color w:val="000000"/>
        </w:rPr>
      </w:pPr>
      <w:r>
        <w:rPr>
          <w:color w:val="000000"/>
        </w:rPr>
      </w:r>
    </w:p>
    <w:p>
      <w:pPr>
        <w:pStyle w:val="Normal"/>
        <w:rPr/>
      </w:pPr>
      <w:r>
        <w:rPr/>
        <w:t xml:space="preserve">Bocarejo Suescun, Diana. 2001. “Fragmentos etnográficos y objetos prehispánicos: representando lo indígena en el Museo del Oro,” </w:t>
      </w:r>
      <w:r>
        <w:rPr>
          <w:i/>
        </w:rPr>
        <w:t>Revista de Arqueología del Area Intermedia</w:t>
      </w:r>
      <w:r>
        <w:rPr/>
        <w:t xml:space="preserve"> 3: 151-182. </w:t>
      </w:r>
    </w:p>
    <w:p>
      <w:pPr>
        <w:pStyle w:val="Normal"/>
        <w:rPr/>
      </w:pPr>
      <w:r>
        <w:rPr/>
      </w:r>
    </w:p>
    <w:p>
      <w:pPr>
        <w:pStyle w:val="Normal"/>
        <w:rPr/>
      </w:pPr>
      <w:r>
        <w:rPr/>
        <w:t xml:space="preserve">2002. “Indigenizando ‘lo blanco’: conversaciones con arhuacos y kogis de la Sierra Nevada de Santa Marta,” </w:t>
      </w:r>
      <w:r>
        <w:rPr>
          <w:i/>
        </w:rPr>
        <w:t>Revista de Antropología y Arqueología</w:t>
      </w:r>
      <w:r>
        <w:rPr/>
        <w:t xml:space="preserve"> 13: 3-44. </w:t>
      </w:r>
    </w:p>
    <w:p>
      <w:pPr>
        <w:pStyle w:val="Normal"/>
        <w:rPr/>
      </w:pPr>
      <w:r>
        <w:rPr/>
      </w:r>
    </w:p>
    <w:p>
      <w:pPr>
        <w:pStyle w:val="Normal"/>
        <w:rPr/>
      </w:pPr>
      <w:r>
        <w:rPr/>
        <w:t>2008. “Reconfiguring the political landscape after the multicultural turn.” Unpublished PhD Dissertation, Chicago: University of Chicago.</w:t>
      </w:r>
    </w:p>
    <w:p>
      <w:pPr>
        <w:pStyle w:val="Normal"/>
        <w:rPr/>
      </w:pPr>
      <w:r>
        <w:rPr/>
      </w:r>
    </w:p>
    <w:p>
      <w:pPr>
        <w:pStyle w:val="Normal"/>
        <w:rPr/>
      </w:pPr>
      <w:r>
        <w:rPr/>
        <w:t xml:space="preserve">Bray, W. 2003. “Gold, Stone, and Ideology: Symbols of Power in the Tairona Tradition of Northern Colombia.” In: Quilter J., J. W. Hoopes (eds.), </w:t>
      </w:r>
      <w:r>
        <w:rPr>
          <w:i/>
        </w:rPr>
        <w:t>Gold and Power in Ancient Costa Rica, Panama, and Colombia</w:t>
      </w:r>
      <w:r>
        <w:rPr/>
        <w:t>. (Washington: Dumbarton Oaks Pre-Columbian Conference Proceedings), pp. 301- 344.</w:t>
      </w:r>
    </w:p>
    <w:p>
      <w:pPr>
        <w:pStyle w:val="Normal"/>
        <w:rPr/>
      </w:pPr>
      <w:r>
        <w:rPr/>
      </w:r>
    </w:p>
    <w:p>
      <w:pPr>
        <w:pStyle w:val="Normal"/>
        <w:rPr/>
      </w:pPr>
      <w:r>
        <w:rPr/>
        <w:t xml:space="preserve">Cadavid, Gilberto. 1987. Proyecto de preservación de Pueblito. Informe de actividades. Junio - noviembre de 1987. Instituto Colombiano de Antropología – FIAN. Unpublished Report </w:t>
      </w:r>
    </w:p>
    <w:p>
      <w:pPr>
        <w:pStyle w:val="Normal"/>
        <w:rPr/>
      </w:pPr>
      <w:r>
        <w:rPr/>
      </w:r>
    </w:p>
    <w:p>
      <w:pPr>
        <w:pStyle w:val="Normal"/>
        <w:rPr/>
      </w:pPr>
      <w:r>
        <w:rPr/>
        <w:t xml:space="preserve">1988. “Proyecto de preservación de Pueblito. Informe de actividades. Agosto de 1988.” Instituto Colombiano de Antropología – FIAN. Unpublished Report. </w:t>
      </w:r>
    </w:p>
    <w:p>
      <w:pPr>
        <w:pStyle w:val="Normal"/>
        <w:rPr/>
      </w:pPr>
      <w:r>
        <w:rPr/>
      </w:r>
    </w:p>
    <w:p>
      <w:pPr>
        <w:pStyle w:val="Normal"/>
        <w:rPr/>
      </w:pPr>
      <w:r>
        <w:rPr/>
        <w:t xml:space="preserve">1993 Proyecto de preservación y restauración de Pueblito. Parque Nacional Natural Tayrona. Informe de actividades. Septiembre - diciembre de 1993. Instituto Colombiano de Antropología – FIAN. Unpublished Report. </w:t>
      </w:r>
    </w:p>
    <w:p>
      <w:pPr>
        <w:pStyle w:val="Normal"/>
        <w:rPr/>
      </w:pPr>
      <w:r>
        <w:rPr/>
      </w:r>
    </w:p>
    <w:p>
      <w:pPr>
        <w:pStyle w:val="Normal"/>
        <w:rPr/>
      </w:pPr>
      <w:r>
        <w:rPr/>
        <w:t>n.d. Excavación arqueológica de un basurero en Buritaca 200 (Ciudad Perdida)-Frente Occidental Bajo, Informe Preliminar Temporada 1983. ICAN, 6 vols. Unpublished Report.</w:t>
      </w:r>
    </w:p>
    <w:p>
      <w:pPr>
        <w:pStyle w:val="Normal"/>
        <w:rPr/>
      </w:pPr>
      <w:r>
        <w:rPr/>
      </w:r>
    </w:p>
    <w:p>
      <w:pPr>
        <w:pStyle w:val="Normal"/>
        <w:rPr/>
      </w:pPr>
      <w:r>
        <w:rP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pPr>
        <w:pStyle w:val="Normal"/>
        <w:rPr/>
      </w:pPr>
      <w:r>
        <w:rPr/>
      </w:r>
    </w:p>
    <w:p>
      <w:pPr>
        <w:pStyle w:val="Normal"/>
        <w:rPr/>
      </w:pPr>
      <w:r>
        <w:rPr/>
        <w:t xml:space="preserve">Cardoso P.1987. “Uso y significado de las cuentas tairona,” </w:t>
      </w:r>
      <w:r>
        <w:rPr>
          <w:i/>
        </w:rPr>
        <w:t>Boletín del Museo del Oro</w:t>
      </w:r>
      <w:r>
        <w:rPr/>
        <w:t>, 19: 117-123.</w:t>
      </w:r>
    </w:p>
    <w:p>
      <w:pPr>
        <w:pStyle w:val="Normal"/>
        <w:rPr/>
      </w:pPr>
      <w:r>
        <w:rPr/>
      </w:r>
    </w:p>
    <w:p>
      <w:pPr>
        <w:pStyle w:val="Normal"/>
        <w:rPr/>
      </w:pPr>
      <w:r>
        <w:rPr/>
        <w:t xml:space="preserve">Coleridge, Samuel Taylor. 1950. </w:t>
      </w:r>
      <w:r>
        <w:rPr>
          <w:i/>
        </w:rPr>
        <w:t>The philosophical lectures hitherto unpublished</w:t>
      </w:r>
      <w:r>
        <w:rPr/>
        <w:t>. Ed. K. Coburn. London: Routledge and Kegan Paul.</w:t>
      </w:r>
    </w:p>
    <w:p>
      <w:pPr>
        <w:pStyle w:val="Normal"/>
        <w:rPr>
          <w:rStyle w:val="Referencetext"/>
        </w:rPr>
      </w:pPr>
      <w:r>
        <w:rPr/>
      </w:r>
    </w:p>
    <w:p>
      <w:pPr>
        <w:pStyle w:val="Normal"/>
        <w:rPr/>
      </w:pPr>
      <w:r>
        <w:rPr>
          <w:rStyle w:val="Referencetext"/>
        </w:rPr>
        <w:t xml:space="preserve">D'Anghiera, Peter Martyr. 1555. De Orbo Novo. Trans. Richard Eden as The decades of the newe worlde or west India conteynyng the nauigations and conquestes of the Spanyardes with the particular description of the moste ryche and large landes and Ilands lately founde in the west Ocean perteynyng to the inheritaunce of the kinges of Spayne, </w:t>
      </w:r>
      <w:r>
        <w:rPr>
          <w:rStyle w:val="Nowrap"/>
          <w:color w:val="0000FF"/>
          <w:u w:val="single"/>
        </w:rPr>
        <w:t>Book III</w:t>
      </w:r>
      <w:r>
        <w:rPr>
          <w:rStyle w:val="Referencetext"/>
        </w:rPr>
        <w:t>, §3. London: William Powell.</w:t>
      </w:r>
    </w:p>
    <w:p>
      <w:pPr>
        <w:pStyle w:val="Normal"/>
        <w:rPr/>
      </w:pPr>
      <w:r>
        <w:rPr/>
      </w:r>
    </w:p>
    <w:p>
      <w:pPr>
        <w:pStyle w:val="Normal"/>
        <w:rPr/>
      </w:pPr>
      <w:hyperlink r:id="rId19">
        <w:r>
          <w:rPr>
            <w:rStyle w:val="InternetLink"/>
          </w:rPr>
          <w:t>EÑES</w:t>
        </w:r>
      </w:hyperlink>
      <w:r>
        <w:rPr/>
        <w:t xml:space="preserve">. 2017. </w:t>
      </w:r>
      <w:r>
        <w:rPr>
          <w:i/>
        </w:rPr>
        <w:t>La Biblioteca como protectora del mundo</w:t>
      </w:r>
      <w:r>
        <w:rPr/>
        <w:t>. https://about.me/souldes.</w:t>
      </w:r>
    </w:p>
    <w:p>
      <w:pPr>
        <w:pStyle w:val="NormalWeb"/>
        <w:rPr/>
      </w:pPr>
      <w:r>
        <w:rPr/>
        <w:t xml:space="preserve">Ereira, Alan. 1993. </w:t>
      </w:r>
      <w:hyperlink r:id="rId20">
        <w:r>
          <w:rPr>
            <w:rStyle w:val="Emphasis"/>
            <w:color w:val="000000"/>
          </w:rPr>
          <w:t>The Elder Brothers</w:t>
        </w:r>
      </w:hyperlink>
      <w:r>
        <w:rPr/>
        <w:t>. New York: Vintage Books.</w:t>
      </w:r>
    </w:p>
    <w:p>
      <w:pPr>
        <w:pStyle w:val="Normal"/>
        <w:rPr/>
      </w:pPr>
      <w:r>
        <w:rPr/>
        <w:t>Falchetti A.M. 1987. “Desarrollo de la orfebrería Tairona en la provincia metalúrgica del norte</w:t>
      </w:r>
    </w:p>
    <w:p>
      <w:pPr>
        <w:pStyle w:val="Normal"/>
        <w:rPr/>
      </w:pPr>
      <w:r>
        <w:rPr/>
        <w:t xml:space="preserve">Colombiano,” </w:t>
      </w:r>
      <w:r>
        <w:rPr>
          <w:i/>
        </w:rPr>
        <w:t>Boletín del Museo del Oro</w:t>
      </w:r>
      <w:r>
        <w:rPr/>
        <w:t>, 19: 3-23.</w:t>
      </w:r>
    </w:p>
    <w:p>
      <w:pPr>
        <w:pStyle w:val="Normal"/>
        <w:rPr/>
      </w:pPr>
      <w:r>
        <w:rPr/>
      </w:r>
    </w:p>
    <w:p>
      <w:pPr>
        <w:pStyle w:val="Normal"/>
        <w:rPr/>
      </w:pPr>
      <w:r>
        <w:rPr>
          <w:rStyle w:val="Referencetext"/>
        </w:rPr>
        <w:t xml:space="preserve">Fabré, Alain. 2005. </w:t>
      </w:r>
      <w:hyperlink r:id="rId21">
        <w:r>
          <w:rPr>
            <w:rStyle w:val="InternetLink"/>
            <w:i/>
            <w:iCs/>
          </w:rPr>
          <w:t>Diccionario etnolingüístico</w:t>
        </w:r>
      </w:hyperlink>
      <w:r>
        <w:rPr>
          <w:rStyle w:val="Referencetext"/>
        </w:rPr>
        <w:t xml:space="preserve"> y guía bibliográfica de los pueblos indígenas sudamericanos. Internet Electronic File. </w:t>
      </w:r>
    </w:p>
    <w:p>
      <w:pPr>
        <w:pStyle w:val="Normal"/>
        <w:rPr>
          <w:rStyle w:val="Referencetext"/>
        </w:rPr>
      </w:pPr>
      <w:r>
        <w:rPr/>
      </w:r>
    </w:p>
    <w:p>
      <w:pPr>
        <w:pStyle w:val="Default"/>
        <w:rPr/>
      </w:pPr>
      <w:r>
        <w:rPr/>
        <w:t xml:space="preserve">Frank, Paul S. 1992. “Reconstrucción de las variaciones en Proto-Aruaco,” </w:t>
      </w:r>
      <w:r>
        <w:rPr>
          <w:i/>
          <w:iCs/>
        </w:rPr>
        <w:t>Thesaurus (</w:t>
      </w:r>
      <w:r>
        <w:rPr/>
        <w:t>Bogotá)</w:t>
      </w:r>
      <w:r>
        <w:rPr>
          <w:i/>
          <w:iCs/>
        </w:rPr>
        <w:t xml:space="preserve"> </w:t>
      </w:r>
      <w:r>
        <w:rPr>
          <w:iCs/>
        </w:rPr>
        <w:t>47: 532-542.</w:t>
      </w:r>
      <w:r>
        <w:rPr>
          <w:i/>
          <w:iCs/>
        </w:rPr>
        <w:t xml:space="preserve"> </w:t>
      </w:r>
    </w:p>
    <w:p>
      <w:pPr>
        <w:pStyle w:val="Normal"/>
        <w:rPr/>
      </w:pPr>
      <w:r>
        <w:rPr/>
      </w:r>
    </w:p>
    <w:p>
      <w:pPr>
        <w:pStyle w:val="Normal"/>
        <w:rPr>
          <w:iCs/>
        </w:rPr>
      </w:pPr>
      <w:r>
        <w:rPr/>
        <w:t xml:space="preserve">1993. “Proto-Arhuacan phonology,” </w:t>
      </w:r>
      <w:r>
        <w:rPr>
          <w:i/>
          <w:iCs/>
        </w:rPr>
        <w:t xml:space="preserve">Estudios de Lingüística Chibcha, </w:t>
      </w:r>
      <w:r>
        <w:rPr>
          <w:iCs/>
        </w:rPr>
        <w:t>12: 95-117.</w:t>
      </w:r>
    </w:p>
    <w:p>
      <w:pPr>
        <w:pStyle w:val="Normal"/>
        <w:rPr>
          <w:iCs/>
        </w:rPr>
      </w:pPr>
      <w:r>
        <w:rPr>
          <w:iCs/>
        </w:rPr>
      </w:r>
    </w:p>
    <w:p>
      <w:pPr>
        <w:pStyle w:val="Normal"/>
        <w:autoSpaceDE w:val="false"/>
        <w:rPr>
          <w:rFonts w:ascii="CantoriaMTStd-Light" w:hAnsi="CantoriaMTStd-Light" w:cs="CantoriaMTStd-Light"/>
        </w:rPr>
      </w:pPr>
      <w:r>
        <w:rPr>
          <w:rFonts w:cs="CantoriaMTStd-Light" w:ascii="CantoriaMTStd-Light" w:hAnsi="CantoriaMTStd-Light"/>
          <w:sz w:val="22"/>
          <w:szCs w:val="22"/>
        </w:rPr>
        <w:t>González-Plazas, Santiago. 2008.</w:t>
      </w:r>
      <w:r>
        <w:rPr>
          <w:rStyle w:val="Referencetext"/>
        </w:rPr>
        <w:t xml:space="preserve"> </w:t>
      </w:r>
      <w:r>
        <w:rPr>
          <w:i/>
        </w:rPr>
        <w:t>Pasado y presente del contraband en La Guajira aproximaciones al fenómeno de ilegalidad en la region.</w:t>
      </w:r>
      <w:r>
        <w:rPr/>
        <w:t xml:space="preserve"> </w:t>
      </w:r>
      <w:r>
        <w:rPr>
          <w:rFonts w:cs="CantoriaMTStd-Light" w:ascii="CantoriaMTStd-Light" w:hAnsi="CantoriaMTStd-Light"/>
        </w:rPr>
        <w:t>Bogotá: Centro de Estudios y Observatorio de Drogas y Delito Facultad de Economía, Universidad del Rosario.</w:t>
      </w:r>
    </w:p>
    <w:p>
      <w:pPr>
        <w:pStyle w:val="Normal"/>
        <w:rPr>
          <w:rFonts w:ascii="CantoriaMTStd-Light" w:hAnsi="CantoriaMTStd-Light" w:cs="CantoriaMTStd-Light"/>
          <w:iCs/>
        </w:rPr>
      </w:pPr>
      <w:r>
        <w:rPr>
          <w:rFonts w:cs="CantoriaMTStd-Light" w:ascii="CantoriaMTStd-Light" w:hAnsi="CantoriaMTStd-Light"/>
          <w:iCs/>
        </w:rPr>
      </w:r>
    </w:p>
    <w:p>
      <w:pPr>
        <w:pStyle w:val="Normal"/>
        <w:rPr>
          <w:i/>
          <w:i/>
          <w:iCs/>
        </w:rPr>
      </w:pPr>
      <w:r>
        <w:rPr>
          <w:rStyle w:val="HTMLCite"/>
        </w:rPr>
        <w:t>Gutierrez Hinojosa, Tomas Dario. 2000. Valledupar Musica de una Historia. Bogota: Editorial Grijalbo LTDA.</w:t>
      </w:r>
    </w:p>
    <w:p>
      <w:pPr>
        <w:pStyle w:val="Normal"/>
        <w:rPr>
          <w:i/>
          <w:i/>
          <w:iCs/>
        </w:rPr>
      </w:pPr>
      <w:r>
        <w:rPr>
          <w:i/>
          <w:iCs/>
        </w:rPr>
      </w:r>
    </w:p>
    <w:p>
      <w:pPr>
        <w:pStyle w:val="Normal"/>
        <w:rPr>
          <w:i/>
          <w:i/>
          <w:iCs/>
        </w:rPr>
      </w:pPr>
      <w:r>
        <w:rPr>
          <w:rStyle w:val="HTMLCite"/>
        </w:rPr>
        <w:t xml:space="preserve">Hammarström, Harald; Forkel, Robert; Haspelmath, Martin; Bank, Sebastian, eds. 2016. </w:t>
      </w:r>
      <w:hyperlink r:id="rId22">
        <w:r>
          <w:rPr>
            <w:rStyle w:val="InternetLink"/>
            <w:i/>
            <w:iCs/>
          </w:rPr>
          <w:t>"Kankuamo"</w:t>
        </w:r>
      </w:hyperlink>
      <w:r>
        <w:rPr>
          <w:rStyle w:val="HTMLCite"/>
        </w:rPr>
        <w:t xml:space="preserve">. </w:t>
      </w:r>
      <w:hyperlink r:id="rId23">
        <w:r>
          <w:rPr>
            <w:rStyle w:val="InternetLink"/>
            <w:i/>
            <w:iCs/>
          </w:rPr>
          <w:t>Glottolog 2.7</w:t>
        </w:r>
      </w:hyperlink>
      <w:r>
        <w:rPr>
          <w:rStyle w:val="HTMLCite"/>
        </w:rPr>
        <w:t>. Jena: Max Planck Institute for the Science of Human History.</w:t>
      </w:r>
    </w:p>
    <w:p>
      <w:pPr>
        <w:pStyle w:val="Normal"/>
        <w:rPr>
          <w:i/>
          <w:i/>
          <w:iCs/>
        </w:rPr>
      </w:pPr>
      <w:r>
        <w:rPr>
          <w:i/>
          <w:iCs/>
        </w:rPr>
      </w:r>
    </w:p>
    <w:p>
      <w:pPr>
        <w:pStyle w:val="Normal"/>
        <w:rPr>
          <w:rStyle w:val="HTMLCite"/>
        </w:rPr>
      </w:pPr>
      <w:r>
        <w:rPr>
          <w:rStyle w:val="HTMLCite"/>
        </w:rPr>
        <w:t xml:space="preserve">Joshua Project, 2017: </w:t>
      </w:r>
      <w:hyperlink r:id="rId24">
        <w:r>
          <w:rPr>
            <w:rStyle w:val="InternetLink"/>
          </w:rPr>
          <w:t>https://joshuaproject.net/people_groups/13448/CO</w:t>
        </w:r>
      </w:hyperlink>
      <w:r>
        <w:rPr>
          <w:rStyle w:val="HTMLCite"/>
        </w:rPr>
        <w:t xml:space="preserve"> </w:t>
      </w:r>
    </w:p>
    <w:p>
      <w:pPr>
        <w:pStyle w:val="Normal"/>
        <w:rPr>
          <w:rStyle w:val="HTMLCite"/>
        </w:rPr>
      </w:pPr>
      <w:r>
        <w:rPr/>
      </w:r>
    </w:p>
    <w:p>
      <w:pPr>
        <w:pStyle w:val="Normal"/>
        <w:rPr/>
      </w:pPr>
      <w:r>
        <w:rPr/>
        <w:t xml:space="preserve">Langebaek, Carl. 1987. “La cronologia de la región arqueológica tairona vista desde Papare, Municipio de Ciénaga,” </w:t>
      </w:r>
      <w:r>
        <w:rPr>
          <w:i/>
        </w:rPr>
        <w:t>Boletín de Arqueología</w:t>
      </w:r>
      <w:r>
        <w:rPr/>
        <w:t xml:space="preserve"> 2, 1: 85-104. </w:t>
      </w:r>
    </w:p>
    <w:p>
      <w:pPr>
        <w:pStyle w:val="Normal"/>
        <w:rPr/>
      </w:pPr>
      <w:r>
        <w:rPr/>
      </w:r>
    </w:p>
    <w:p>
      <w:pPr>
        <w:pStyle w:val="Normal"/>
        <w:rPr/>
      </w:pPr>
      <w:r>
        <w:rPr/>
        <w:t xml:space="preserve">2003. “The Political Economy of Pre-Colombian Goldwork: Four Examples from Northern South America.” In </w:t>
      </w:r>
      <w:r>
        <w:rPr>
          <w:i/>
        </w:rPr>
        <w:t>Gold and Power in Ancient Costa Rica, Panama and Colombia</w:t>
      </w:r>
      <w:r>
        <w:rPr/>
        <w:t xml:space="preserve">, Jeffrey Quilter and John W. Hoopes, Eds. 245-278. Washington D.C: Dumbarton Oaks. </w:t>
      </w:r>
    </w:p>
    <w:p>
      <w:pPr>
        <w:pStyle w:val="Normal"/>
        <w:rPr/>
      </w:pPr>
      <w:r>
        <w:rPr/>
      </w:r>
    </w:p>
    <w:p>
      <w:pPr>
        <w:pStyle w:val="Normal"/>
        <w:rPr>
          <w:rStyle w:val="HTMLCite"/>
        </w:rPr>
      </w:pPr>
      <w:r>
        <w:rPr/>
        <w:t xml:space="preserve">2005. </w:t>
      </w:r>
      <w:r>
        <w:rPr>
          <w:i/>
        </w:rPr>
        <w:t>The Prehispanic Populations of the Santa Marta Bays</w:t>
      </w:r>
      <w:r>
        <w:rPr/>
        <w:t>. Bogota and Pittsburgh: University of Pittsburgh.</w:t>
      </w:r>
    </w:p>
    <w:p>
      <w:pPr>
        <w:pStyle w:val="Normal"/>
        <w:rPr>
          <w:rStyle w:val="HTMLCite"/>
        </w:rPr>
      </w:pPr>
      <w:r>
        <w:rPr/>
      </w:r>
    </w:p>
    <w:p>
      <w:pPr>
        <w:pStyle w:val="Normal"/>
        <w:rPr/>
      </w:pPr>
      <w:r>
        <w:rPr/>
        <w:t>Langebaek, C. 2007. “La idolatría de los indios en el siglo xvii: El caso de los arhuacos.” In </w:t>
      </w:r>
      <w:r>
        <w:rPr>
          <w:i/>
        </w:rPr>
        <w:t>Indios y españoles en la antigua Provincia de Santa Marta, Colombia: Documentos de los siglos XVI y XVII</w:t>
      </w:r>
      <w:r>
        <w:rPr/>
        <w:t>. Universidad de los Andes, Colombia, pp. 221-248.</w:t>
      </w:r>
    </w:p>
    <w:p>
      <w:pPr>
        <w:pStyle w:val="Normal"/>
        <w:rPr/>
      </w:pPr>
      <w:r>
        <w:rPr/>
      </w:r>
    </w:p>
    <w:p>
      <w:pPr>
        <w:pStyle w:val="Normal"/>
        <w:rPr/>
      </w:pPr>
      <w:r>
        <w:rPr/>
        <w:t xml:space="preserve">Legast, A. 1982. “La fauna mítica Tairona,” </w:t>
      </w:r>
      <w:r>
        <w:rPr>
          <w:i/>
        </w:rPr>
        <w:t>Boletín del Museo del Oro</w:t>
      </w:r>
      <w:r>
        <w:rPr/>
        <w:t>, 13:1-18</w:t>
      </w:r>
    </w:p>
    <w:p>
      <w:pPr>
        <w:pStyle w:val="Normal"/>
        <w:rPr/>
      </w:pPr>
      <w:r>
        <w:rPr/>
      </w:r>
    </w:p>
    <w:p>
      <w:pPr>
        <w:pStyle w:val="Normal"/>
        <w:rPr/>
      </w:pPr>
      <w:r>
        <w:rPr/>
        <w:t>1987 El animal en el mundo mitico Tairona. Fundación de Investigaciones Arqueológicas Nacionales. Banco de la República; Bogotá.</w:t>
      </w:r>
    </w:p>
    <w:p>
      <w:pPr>
        <w:pStyle w:val="Normal"/>
        <w:rPr/>
      </w:pPr>
      <w:r>
        <w:rPr/>
      </w:r>
    </w:p>
    <w:p>
      <w:pPr>
        <w:pStyle w:val="Normal"/>
        <w:rPr/>
      </w:pPr>
      <w:r>
        <w:rPr/>
        <w:t xml:space="preserve">Legast, A. and A. Cadena. 1986. “El murcielago en el material arqueologico, colombiano,” </w:t>
      </w:r>
      <w:r>
        <w:rPr>
          <w:i/>
        </w:rPr>
        <w:t>Boletín de arqueología</w:t>
      </w:r>
      <w:r>
        <w:rPr/>
        <w:t>, 1(3): 25-34.</w:t>
      </w:r>
    </w:p>
    <w:p>
      <w:pPr>
        <w:pStyle w:val="Normal"/>
        <w:rPr/>
      </w:pPr>
      <w:r>
        <w:rPr/>
      </w:r>
    </w:p>
    <w:p>
      <w:pPr>
        <w:pStyle w:val="Normal"/>
        <w:rPr/>
      </w:pPr>
      <w:r>
        <w:rPr/>
        <w:t xml:space="preserve">Looper, Matthew. 2003. “From inscribed bodies to distributed persons: contextualizing Tairona figural images in performance,” </w:t>
      </w:r>
      <w:r>
        <w:rPr>
          <w:i/>
        </w:rPr>
        <w:t>Cambridge Archaeological Journal</w:t>
      </w:r>
      <w:r>
        <w:rPr/>
        <w:t xml:space="preserve"> 13, 1: 25-40.</w:t>
      </w:r>
    </w:p>
    <w:p>
      <w:pPr>
        <w:pStyle w:val="Normal"/>
        <w:rPr/>
      </w:pPr>
      <w:r>
        <w:rPr/>
      </w:r>
    </w:p>
    <w:p>
      <w:pPr>
        <w:pStyle w:val="Normal"/>
        <w:rPr/>
      </w:pPr>
      <w:r>
        <w:rPr/>
        <w:t xml:space="preserve">Mason, J. Alden. 1931. </w:t>
      </w:r>
      <w:r>
        <w:rPr>
          <w:i/>
        </w:rPr>
        <w:t>Archaeology of Santa Marta, Colombia. The Tairona Culture</w:t>
      </w:r>
      <w:r>
        <w:rPr/>
        <w:t>. Field Museum of Natural History, Anthropological Series, Vol. 20 (No. 1), Part I, Report on Field Work. Chicago: Field Museum Press. –</w:t>
      </w:r>
    </w:p>
    <w:p>
      <w:pPr>
        <w:pStyle w:val="Normal"/>
        <w:rPr/>
      </w:pPr>
      <w:r>
        <w:rPr/>
      </w:r>
    </w:p>
    <w:p>
      <w:pPr>
        <w:pStyle w:val="Normal"/>
        <w:rPr/>
      </w:pPr>
      <w:r>
        <w:rPr/>
        <w:t xml:space="preserve">1936. </w:t>
      </w:r>
      <w:r>
        <w:rPr>
          <w:i/>
        </w:rPr>
        <w:t>Archaeology of Santa Marta, Colombia. The Tairona Culture</w:t>
      </w:r>
      <w:r>
        <w:rPr/>
        <w:t xml:space="preserve">. Field Museum of Natural History Anthropological Series, Vol. 20 (No. 2), Part II, Section I, Objects of Stone, Shell, Bone and Metal. Chicago: Field Museum Press. </w:t>
      </w:r>
    </w:p>
    <w:p>
      <w:pPr>
        <w:pStyle w:val="Normal"/>
        <w:rPr/>
      </w:pPr>
      <w:r>
        <w:rPr/>
      </w:r>
    </w:p>
    <w:p>
      <w:pPr>
        <w:pStyle w:val="Normal"/>
        <w:rPr/>
      </w:pPr>
      <w:r>
        <w:rPr/>
        <w:t xml:space="preserve">1939. </w:t>
      </w:r>
      <w:r>
        <w:rPr>
          <w:i/>
        </w:rPr>
        <w:t>Archaeology of Santa Marta, Colombia. The Tairona Culture</w:t>
      </w:r>
      <w:r>
        <w:rPr/>
        <w:t>. Field Museum of Natural History, Anthropological Series, Vol. 20 (No. 3), Part II, Section II, Objects of Pottery. Chicago: Field Museum of Natural History.</w:t>
      </w:r>
    </w:p>
    <w:p>
      <w:pPr>
        <w:pStyle w:val="Normal"/>
        <w:rPr>
          <w:rStyle w:val="HTMLCite"/>
          <w:i w:val="false"/>
          <w:i w:val="false"/>
        </w:rPr>
      </w:pPr>
      <w:r>
        <w:rPr/>
      </w:r>
    </w:p>
    <w:p>
      <w:pPr>
        <w:pStyle w:val="Normal"/>
        <w:rPr>
          <w:rStyle w:val="HTMLCite"/>
          <w:i w:val="false"/>
          <w:i w:val="false"/>
        </w:rPr>
      </w:pPr>
      <w:r>
        <w:rPr>
          <w:rStyle w:val="HTMLCite"/>
        </w:rPr>
        <w:t xml:space="preserve">National Institutes of Health; Committee to Review the Health Effects in Vietnam Veterans of Exposure to Herbicides. 1994. </w:t>
      </w:r>
      <w:hyperlink r:id="rId25">
        <w:r>
          <w:rPr>
            <w:rStyle w:val="InternetLink"/>
            <w:i/>
            <w:iCs/>
          </w:rPr>
          <w:t>Veterans and Agent Orange: Health Effects of Herbicides Used in Vietnam</w:t>
        </w:r>
      </w:hyperlink>
      <w:r>
        <w:rPr>
          <w:rStyle w:val="HTMLCite"/>
        </w:rPr>
        <w:t>. Washington: National Academies Press.</w:t>
      </w:r>
    </w:p>
    <w:p>
      <w:pPr>
        <w:pStyle w:val="Normal"/>
        <w:rPr>
          <w:rStyle w:val="HTMLCite"/>
          <w:i w:val="false"/>
          <w:i w:val="false"/>
        </w:rPr>
      </w:pPr>
      <w:r>
        <w:rPr/>
      </w:r>
    </w:p>
    <w:p>
      <w:pPr>
        <w:pStyle w:val="Normal"/>
        <w:rPr/>
      </w:pPr>
      <w:r>
        <w:rPr/>
        <w:t xml:space="preserve">Nicholas, Francis G. 1901. “The Aborigines of the Province of Santa Marta, Colombia,” </w:t>
      </w:r>
      <w:r>
        <w:rPr>
          <w:i/>
        </w:rPr>
        <w:t xml:space="preserve">American Anthropologist </w:t>
      </w:r>
      <w:r>
        <w:rPr/>
        <w:t>(New Series) 3, 4: 606-649.</w:t>
      </w:r>
    </w:p>
    <w:p>
      <w:pPr>
        <w:pStyle w:val="Normal"/>
        <w:rPr/>
      </w:pPr>
      <w:r>
        <w:rPr/>
      </w:r>
    </w:p>
    <w:p>
      <w:pPr>
        <w:pStyle w:val="Normal"/>
        <w:rPr/>
      </w:pPr>
      <w:r>
        <w:rPr/>
        <w:t xml:space="preserve">Oyuela-Caycedo, A. 1986. “De los Tairona a los Kogi: Una interpretación del Cambio Cultural,” </w:t>
      </w:r>
      <w:r>
        <w:rPr>
          <w:i/>
        </w:rPr>
        <w:t>Boletín del Museo del Oro</w:t>
      </w:r>
      <w:r>
        <w:rPr/>
        <w:t>, 17: 32-43</w:t>
      </w:r>
    </w:p>
    <w:p>
      <w:pPr>
        <w:pStyle w:val="Normal"/>
        <w:rPr/>
      </w:pPr>
      <w:r>
        <w:rPr/>
      </w:r>
    </w:p>
    <w:p>
      <w:pPr>
        <w:pStyle w:val="Normal"/>
        <w:rPr/>
      </w:pPr>
      <w:r>
        <w:rPr/>
        <w:t xml:space="preserve">2005. “El surgimiento de la rutinización religiosa: los orígenes de los tairona-kogis.” In Chaumeil J.P., R.P. Camacho and J.F. Bouchard (eds.), </w:t>
      </w:r>
      <w:r>
        <w:rPr>
          <w:i/>
        </w:rPr>
        <w:t>Chamanismo y sacrificio, Persectivas arqueológicas en sociedades indígenas de América del  Sud</w:t>
      </w:r>
      <w:r>
        <w:rPr/>
        <w:t>. Bogotá, pp. 141-163</w:t>
      </w:r>
    </w:p>
    <w:p>
      <w:pPr>
        <w:pStyle w:val="Normal"/>
        <w:rPr/>
      </w:pPr>
      <w:r>
        <w:rPr/>
      </w:r>
    </w:p>
    <w:p>
      <w:pPr>
        <w:pStyle w:val="Normal"/>
        <w:rPr/>
      </w:pPr>
      <w:r>
        <w:rPr/>
        <w:t xml:space="preserve">2010. “The Forest as a Fragmented Archaeological Artifact.” In Dean R.M. (ed.), </w:t>
      </w:r>
      <w:r>
        <w:rPr>
          <w:i/>
        </w:rPr>
        <w:t>The Archaeology of Anthropogenic Environments</w:t>
      </w:r>
      <w:r>
        <w:rPr/>
        <w:t>.  Carbondale: University of Michigan Press, pp.75-94.</w:t>
      </w:r>
    </w:p>
    <w:p>
      <w:pPr>
        <w:pStyle w:val="Normal"/>
        <w:rPr>
          <w:rStyle w:val="Referencetext"/>
        </w:rPr>
      </w:pPr>
      <w:r>
        <w:rPr/>
      </w:r>
    </w:p>
    <w:p>
      <w:pPr>
        <w:pStyle w:val="Normal"/>
        <w:rPr>
          <w:rStyle w:val="Referencetext"/>
        </w:rPr>
      </w:pPr>
      <w:r>
        <w:rPr>
          <w:rStyle w:val="Referencetext"/>
        </w:rPr>
        <w:t xml:space="preserve">Panoramas. 2015. </w:t>
      </w:r>
      <w:r>
        <w:fldChar w:fldCharType="begin"/>
      </w:r>
      <w:r>
        <w:rPr>
          <w:rStyle w:val="InternetLink"/>
        </w:rPr>
        <w:instrText> HYPERLINK "http://www.viewfinderpanoramas.org/panoramas.html" \l "longlines"</w:instrText>
      </w:r>
      <w:r>
        <w:rPr>
          <w:rStyle w:val="InternetLink"/>
        </w:rPr>
        <w:fldChar w:fldCharType="separate"/>
      </w:r>
      <w:r>
        <w:rPr>
          <w:rStyle w:val="InternetLink"/>
        </w:rPr>
        <w:t>http://www.viewfinderpanoramas.org/panoramas.html#longlines</w:t>
      </w:r>
      <w:r>
        <w:rPr>
          <w:rStyle w:val="InternetLink"/>
        </w:rPr>
        <w:fldChar w:fldCharType="end"/>
      </w:r>
    </w:p>
    <w:p>
      <w:pPr>
        <w:pStyle w:val="Normal"/>
        <w:rPr>
          <w:rStyle w:val="Referencetext"/>
        </w:rPr>
      </w:pPr>
      <w:r>
        <w:rPr/>
      </w:r>
    </w:p>
    <w:p>
      <w:pPr>
        <w:pStyle w:val="Normal"/>
        <w:rPr/>
      </w:pPr>
      <w:r>
        <w:rPr/>
        <w:t xml:space="preserve">Plazas, C. 1987. “Forma y fución en el oro Tairona,” </w:t>
      </w:r>
      <w:r>
        <w:rPr>
          <w:i/>
        </w:rPr>
        <w:t>Boletín del Museo del Oro</w:t>
      </w:r>
      <w:r>
        <w:rPr/>
        <w:t>, 19: 25-33.</w:t>
      </w:r>
    </w:p>
    <w:p>
      <w:pPr>
        <w:pStyle w:val="Normal"/>
        <w:rPr/>
      </w:pPr>
      <w:r>
        <w:rPr/>
      </w:r>
    </w:p>
    <w:p>
      <w:pPr>
        <w:pStyle w:val="Normal"/>
        <w:rPr/>
      </w:pPr>
      <w:r>
        <w:rPr/>
        <w:t xml:space="preserve">Preuss, Konrad Theodor. 1993 [1926]. </w:t>
      </w:r>
      <w:r>
        <w:rPr>
          <w:i/>
        </w:rPr>
        <w:t>Visita a Los Indígenas Kágaba De La Sierra Nevada De Santa Marta: Observaciones, Recopilación De Textos Y Estudios Lingüísticos.</w:t>
      </w:r>
      <w:r>
        <w:rPr/>
        <w:t xml:space="preserve"> Santafé de Bogotá: Instituto Colombiano de Antropología.</w:t>
      </w:r>
    </w:p>
    <w:p>
      <w:pPr>
        <w:pStyle w:val="Normal"/>
        <w:rPr/>
      </w:pPr>
      <w:r>
        <w:rPr/>
      </w:r>
    </w:p>
    <w:p>
      <w:pPr>
        <w:pStyle w:val="Normal"/>
        <w:rPr/>
      </w:pPr>
      <w:r>
        <w:rPr/>
        <w:t>Rajput, D. S., R. S. and G. S. Thakur, and Neeraj Sahu. 2012. “Analysis of Social Networking Sites</w:t>
      </w:r>
    </w:p>
    <w:p>
      <w:pPr>
        <w:pStyle w:val="Normal"/>
        <w:rPr/>
      </w:pPr>
      <w:r>
        <w:rPr/>
        <w:t xml:space="preserve">Using K- Mean Clustering Algorithm, </w:t>
      </w:r>
      <w:r>
        <w:rPr>
          <w:i/>
        </w:rPr>
        <w:t>International Journal of Computer &amp; Communication Technology</w:t>
      </w:r>
      <w:r>
        <w:rPr/>
        <w:t>, 3: 88-92.</w:t>
      </w:r>
    </w:p>
    <w:p>
      <w:pPr>
        <w:pStyle w:val="NormalWeb"/>
        <w:rPr/>
      </w:pPr>
      <w:r>
        <w:rPr/>
        <w:t xml:space="preserve">Réclus, Élisée. 1875-94. </w:t>
      </w:r>
      <w:r>
        <w:rPr>
          <w:rStyle w:val="Emphasis"/>
        </w:rPr>
        <w:t>La Nouvelle Géographie universelle, la terre et les hommes</w:t>
      </w:r>
      <w:r>
        <w:rPr/>
        <w:t>, 19 vol. Paris.</w:t>
      </w:r>
    </w:p>
    <w:p>
      <w:pPr>
        <w:pStyle w:val="Normal"/>
        <w:rPr>
          <w:rFonts w:eastAsia="Times New Roman"/>
        </w:rPr>
      </w:pPr>
      <w:r>
        <w:rPr/>
        <w:t>Reichel-Dalmatoff, Gerardo.</w:t>
      </w:r>
      <w:r>
        <w:rPr>
          <w:b/>
        </w:rPr>
        <w:t xml:space="preserve"> </w:t>
      </w:r>
      <w:r>
        <w:rPr>
          <w:rFonts w:eastAsia="Times New Roman"/>
        </w:rPr>
        <w:t xml:space="preserve">1942. "Apuntes arqueológicos de Soacha," </w:t>
      </w:r>
      <w:r>
        <w:rPr>
          <w:rFonts w:eastAsia="Times New Roman"/>
          <w:i/>
        </w:rPr>
        <w:t>Revista del Instituto Etnológico Naccional</w:t>
      </w:r>
      <w:r>
        <w:rPr>
          <w:rFonts w:eastAsia="Times New Roman"/>
        </w:rPr>
        <w:t>, pp. 15-25.</w:t>
      </w:r>
    </w:p>
    <w:p>
      <w:pPr>
        <w:pStyle w:val="Normal"/>
        <w:rPr>
          <w:rFonts w:eastAsia="Times New Roman"/>
        </w:rPr>
      </w:pPr>
      <w:r>
        <w:rPr>
          <w:rFonts w:eastAsia="Times New Roman"/>
        </w:rPr>
        <w:br/>
        <w:t xml:space="preserve">1953a. “Contactos y cambios culturales en la Sierra Nevada de Santa Marta,” </w:t>
      </w:r>
      <w:r>
        <w:rPr>
          <w:rFonts w:eastAsia="Times New Roman"/>
          <w:i/>
          <w:iCs/>
        </w:rPr>
        <w:t>Revista Colombiana de Antropología</w:t>
      </w:r>
      <w:r>
        <w:rPr>
          <w:rFonts w:eastAsia="Times New Roman"/>
        </w:rPr>
        <w:t xml:space="preserve"> 1(1): 15-122.</w:t>
      </w:r>
    </w:p>
    <w:p>
      <w:pPr>
        <w:pStyle w:val="Normal"/>
        <w:rPr>
          <w:rFonts w:eastAsia="Times New Roman"/>
        </w:rPr>
      </w:pPr>
      <w:r>
        <w:rPr>
          <w:rFonts w:eastAsia="Times New Roman"/>
        </w:rPr>
      </w:r>
    </w:p>
    <w:p>
      <w:pPr>
        <w:pStyle w:val="Normal"/>
        <w:rPr>
          <w:rFonts w:eastAsia="Times New Roman"/>
        </w:rPr>
      </w:pPr>
      <w:r>
        <w:rPr>
          <w:rFonts w:eastAsia="Times New Roman"/>
        </w:rPr>
        <w:t xml:space="preserve">1953b. “Investigaciones arqueológicas en el departamento del Magdalena: 1946-1950. Parte III: arqueología del bajo Magdalena.” </w:t>
      </w:r>
      <w:r>
        <w:rPr>
          <w:rFonts w:eastAsia="Times New Roman"/>
          <w:i/>
          <w:iCs/>
        </w:rPr>
        <w:t>Divulgaciones Etnológicas</w:t>
      </w:r>
      <w:r>
        <w:rPr>
          <w:rFonts w:eastAsia="Times New Roman"/>
        </w:rPr>
        <w:t xml:space="preserve"> 4(4): 1-96 + 23 láminas. Barranquilla: Instituto Etnológico del Atlántico.</w:t>
      </w:r>
    </w:p>
    <w:p>
      <w:pPr>
        <w:pStyle w:val="Normal"/>
        <w:rPr>
          <w:rFonts w:eastAsia="Times New Roman"/>
        </w:rPr>
      </w:pPr>
      <w:r>
        <w:rPr>
          <w:rFonts w:eastAsia="Times New Roman"/>
        </w:rPr>
        <w:br/>
        <w:t xml:space="preserve">1954a. “Investigaciones Arqueológicas en la Sierra Nevada de Santa Marta. Partes 1-2,” </w:t>
      </w:r>
      <w:r>
        <w:rPr>
          <w:rFonts w:eastAsia="Times New Roman"/>
          <w:i/>
          <w:iCs/>
        </w:rPr>
        <w:t>Revista Colombiana de Antropología,</w:t>
      </w:r>
      <w:r>
        <w:rPr>
          <w:rFonts w:eastAsia="Times New Roman"/>
        </w:rPr>
        <w:t xml:space="preserve"> 2(2): 147-206.</w:t>
        <w:br/>
      </w:r>
    </w:p>
    <w:p>
      <w:pPr>
        <w:pStyle w:val="Normal"/>
        <w:rPr/>
      </w:pPr>
      <w:r>
        <w:rPr>
          <w:rFonts w:eastAsia="Times New Roman"/>
        </w:rPr>
        <w:t xml:space="preserve">1954b. “Investigaciones Arqueológicas en la Sierra Nevada de Santa Marta. Parte 3,” </w:t>
      </w:r>
      <w:r>
        <w:rPr>
          <w:rFonts w:eastAsia="Times New Roman"/>
          <w:i/>
          <w:iCs/>
        </w:rPr>
        <w:t>Revista Colombiana de Antropología,</w:t>
      </w:r>
      <w:r>
        <w:rPr>
          <w:rFonts w:eastAsia="Times New Roman"/>
        </w:rPr>
        <w:t xml:space="preserve"> 3(3): 141-170.</w:t>
        <w:br/>
        <w:br/>
        <w:t xml:space="preserve">1959. “La Mesa.  Un complejo arqueológico de la Sierra Nevada de Santa Marta,” </w:t>
      </w:r>
      <w:r>
        <w:rPr>
          <w:rFonts w:eastAsia="Times New Roman"/>
          <w:i/>
          <w:iCs/>
        </w:rPr>
        <w:t>Revista Colombiana de Antropología,</w:t>
      </w:r>
      <w:r>
        <w:rPr>
          <w:rFonts w:eastAsia="Times New Roman"/>
        </w:rPr>
        <w:t xml:space="preserve"> 8: 159-214.</w:t>
      </w:r>
    </w:p>
    <w:p>
      <w:pPr>
        <w:pStyle w:val="Normal"/>
        <w:rPr>
          <w:rFonts w:eastAsia="Times New Roman"/>
        </w:rPr>
      </w:pPr>
      <w:r>
        <w:rPr>
          <w:rFonts w:eastAsia="Times New Roman"/>
        </w:rPr>
      </w:r>
    </w:p>
    <w:p>
      <w:pPr>
        <w:pStyle w:val="Normal"/>
        <w:rPr>
          <w:rFonts w:eastAsia="Times New Roman"/>
        </w:rPr>
      </w:pPr>
      <w:r>
        <w:rPr>
          <w:rFonts w:eastAsia="Times New Roman"/>
        </w:rPr>
        <w:t xml:space="preserve">1963. “Investigaciones arqueológicas en la Costa Pacífica de Colombia II- Una secuencia cultural del Bajo Río San Juan,” </w:t>
      </w:r>
      <w:r>
        <w:rPr>
          <w:rFonts w:eastAsia="Times New Roman"/>
          <w:i/>
          <w:iCs/>
        </w:rPr>
        <w:t>Revista Colombiana de Antropología,</w:t>
      </w:r>
      <w:r>
        <w:rPr>
          <w:rFonts w:eastAsia="Times New Roman"/>
        </w:rPr>
        <w:t xml:space="preserve"> 2: 9-81.</w:t>
      </w:r>
    </w:p>
    <w:p>
      <w:pPr>
        <w:pStyle w:val="Normal"/>
        <w:rPr>
          <w:rFonts w:eastAsia="Times New Roman"/>
        </w:rPr>
      </w:pPr>
      <w:r>
        <w:rPr>
          <w:rFonts w:eastAsia="Times New Roman"/>
        </w:rPr>
      </w:r>
    </w:p>
    <w:p>
      <w:pPr>
        <w:pStyle w:val="Normal"/>
        <w:rPr/>
      </w:pPr>
      <w:r>
        <w:rPr/>
        <w:t xml:space="preserve">1990. “The Sacred Mountain of Colombia’s Kogi Indians,” </w:t>
      </w:r>
      <w:r>
        <w:rPr>
          <w:i/>
        </w:rPr>
        <w:t>Iconography of Religions</w:t>
      </w:r>
      <w:r>
        <w:rPr/>
        <w:t xml:space="preserve">, sec. 9, South America, fasc.2, Serie M. Leiden. </w:t>
      </w:r>
    </w:p>
    <w:p>
      <w:pPr>
        <w:pStyle w:val="Normal"/>
        <w:rPr>
          <w:rFonts w:eastAsia="Times New Roman"/>
        </w:rPr>
      </w:pPr>
      <w:r>
        <w:rPr>
          <w:rFonts w:eastAsia="Times New Roman"/>
        </w:rPr>
      </w:r>
    </w:p>
    <w:p>
      <w:pPr>
        <w:pStyle w:val="Normal"/>
        <w:rPr>
          <w:rFonts w:eastAsia="Times New Roman"/>
        </w:rPr>
      </w:pPr>
      <w:r>
        <w:rPr>
          <w:rFonts w:eastAsia="Times New Roman"/>
        </w:rPr>
        <w:t xml:space="preserve">1997. </w:t>
      </w:r>
      <w:r>
        <w:rPr>
          <w:rFonts w:eastAsia="Times New Roman"/>
          <w:i/>
          <w:iCs/>
        </w:rPr>
        <w:t xml:space="preserve">Arqueología de Colombia: Un texto introductorio </w:t>
      </w:r>
      <w:r>
        <w:rPr>
          <w:rFonts w:eastAsia="Times New Roman"/>
        </w:rPr>
        <w:t>(1986)</w:t>
      </w:r>
      <w:r>
        <w:rPr>
          <w:rFonts w:eastAsia="Times New Roman"/>
          <w:i/>
          <w:iCs/>
        </w:rPr>
        <w:t xml:space="preserve">. </w:t>
      </w:r>
      <w:r>
        <w:rPr>
          <w:rFonts w:eastAsia="Times New Roman"/>
        </w:rPr>
        <w:t>Bogotá: Imprenta Nacional de Colombia.</w:t>
      </w:r>
    </w:p>
    <w:p>
      <w:pPr>
        <w:pStyle w:val="Normal"/>
        <w:rPr>
          <w:rFonts w:eastAsia="Times New Roman"/>
        </w:rPr>
      </w:pPr>
      <w:r>
        <w:rPr>
          <w:rFonts w:eastAsia="Times New Roman"/>
        </w:rPr>
      </w:r>
    </w:p>
    <w:p>
      <w:pPr>
        <w:pStyle w:val="Normal"/>
        <w:rPr>
          <w:rFonts w:eastAsia="Times New Roman"/>
        </w:rPr>
      </w:pPr>
      <w:r>
        <w:rPr/>
        <w:t>Reichel-Dalmatoff, Gerardo and</w:t>
      </w:r>
      <w:r>
        <w:rPr>
          <w:rFonts w:eastAsia="Times New Roman"/>
        </w:rPr>
        <w:t xml:space="preserve"> Alicia Dussan de Reichel. 1942. "Las urnas funerarias en la cuenca del río Magdalena", </w:t>
      </w:r>
      <w:r>
        <w:rPr>
          <w:rFonts w:eastAsia="Times New Roman"/>
          <w:i/>
          <w:iCs/>
        </w:rPr>
        <w:t>Revista del Instituto Etnológico Nacional</w:t>
      </w:r>
      <w:r>
        <w:rPr>
          <w:rFonts w:eastAsia="Times New Roman"/>
        </w:rPr>
        <w:t xml:space="preserve">, Bogotá, pp. 109-160.  </w:t>
      </w:r>
    </w:p>
    <w:p>
      <w:pPr>
        <w:pStyle w:val="Normal"/>
        <w:rPr>
          <w:rFonts w:eastAsia="Times New Roman"/>
        </w:rPr>
      </w:pPr>
      <w:r>
        <w:rPr>
          <w:rFonts w:eastAsia="Times New Roman"/>
        </w:rPr>
      </w:r>
    </w:p>
    <w:p>
      <w:pPr>
        <w:pStyle w:val="Normal"/>
        <w:rPr/>
      </w:pPr>
      <w:r>
        <w:rPr>
          <w:rFonts w:eastAsia="Times New Roman"/>
        </w:rPr>
        <w:t xml:space="preserve">1951. “Investigaciones arqueológicas en el departamento del Magdalena: 1946-1950”. Parte I: “Arqueología del río Ranchería; Parte II: “Arqueología del río Cesar”. </w:t>
      </w:r>
      <w:r>
        <w:rPr>
          <w:rFonts w:eastAsia="Times New Roman"/>
          <w:i/>
          <w:iCs/>
        </w:rPr>
        <w:t>Boletín de Arqueología,</w:t>
      </w:r>
      <w:r>
        <w:rPr>
          <w:rFonts w:eastAsia="Times New Roman"/>
        </w:rPr>
        <w:t xml:space="preserve"> III(1-6): 1-334. Bogotá: Instituto Etnológico Nacional.</w:t>
      </w:r>
    </w:p>
    <w:p>
      <w:pPr>
        <w:pStyle w:val="Normal"/>
        <w:rPr>
          <w:rFonts w:eastAsia="Times New Roman"/>
        </w:rPr>
      </w:pPr>
      <w:r>
        <w:rPr>
          <w:rFonts w:eastAsia="Times New Roman"/>
        </w:rPr>
        <w:br/>
        <w:t xml:space="preserve">1955. “Investigaciones arqueológicas en la Sierra Nevada de Santa Marta. Parte IV: sitios de habitación del período Tairona II, en Pueblito,” </w:t>
      </w:r>
      <w:r>
        <w:rPr>
          <w:rFonts w:eastAsia="Times New Roman"/>
          <w:i/>
          <w:iCs/>
        </w:rPr>
        <w:t>Revista Colombiana de Antropología,</w:t>
      </w:r>
      <w:r>
        <w:rPr>
          <w:rFonts w:eastAsia="Times New Roman"/>
        </w:rPr>
        <w:t xml:space="preserve"> 4: 189-245.</w:t>
      </w:r>
    </w:p>
    <w:p>
      <w:pPr>
        <w:pStyle w:val="Normal"/>
        <w:rPr>
          <w:rFonts w:eastAsia="Times New Roman"/>
        </w:rPr>
      </w:pPr>
      <w:r>
        <w:rPr>
          <w:rFonts w:eastAsia="Times New Roman"/>
        </w:rPr>
        <w:br/>
        <w:t xml:space="preserve">1961. "Investigaciones arqueológicas en la costa Pacífica de Colombia :I - El sitio de Cupica" </w:t>
      </w:r>
      <w:r>
        <w:rPr>
          <w:rFonts w:eastAsia="Times New Roman"/>
          <w:i/>
          <w:iCs/>
        </w:rPr>
        <w:t xml:space="preserve">Revista colombiana de antropología, </w:t>
      </w:r>
      <w:r>
        <w:rPr>
          <w:rFonts w:eastAsia="Times New Roman"/>
        </w:rPr>
        <w:t xml:space="preserve">Bogotá. 10: 237-317. </w:t>
      </w:r>
    </w:p>
    <w:p>
      <w:pPr>
        <w:pStyle w:val="Normal"/>
        <w:rPr>
          <w:rFonts w:eastAsia="Times New Roman"/>
        </w:rPr>
      </w:pPr>
      <w:r>
        <w:rPr>
          <w:rFonts w:eastAsia="Times New Roman"/>
        </w:rPr>
      </w:r>
    </w:p>
    <w:p>
      <w:pPr>
        <w:pStyle w:val="Normal"/>
        <w:rPr/>
      </w:pPr>
      <w:r>
        <w:rPr/>
        <w:t xml:space="preserve">1987. “Arquitectura y Urbanismo en la Cultura Tairona,” </w:t>
      </w:r>
      <w:r>
        <w:rPr>
          <w:i/>
        </w:rPr>
        <w:t>Boletín del Museo del Oro,</w:t>
      </w:r>
      <w:r>
        <w:rPr/>
        <w:t xml:space="preserve"> 19: 87-96.</w:t>
      </w:r>
    </w:p>
    <w:p>
      <w:pPr>
        <w:pStyle w:val="Normal"/>
        <w:rPr/>
      </w:pPr>
      <w:r>
        <w:rPr/>
      </w:r>
    </w:p>
    <w:p>
      <w:pPr>
        <w:pStyle w:val="Normal"/>
        <w:rPr/>
      </w:pPr>
      <w:r>
        <w:rPr/>
        <w:t>Sievers, Wilhelm. 1986. “Die Arhuaco-Indianer in der Sierra Nevada de Santa Marta,” Zeitschrift der Gesellschaft fuer Erdkunde, 21: 388-400.</w:t>
      </w:r>
    </w:p>
    <w:p>
      <w:pPr>
        <w:pStyle w:val="Normal"/>
        <w:rPr/>
      </w:pPr>
      <w:r>
        <w:rPr/>
      </w:r>
    </w:p>
    <w:p>
      <w:pPr>
        <w:pStyle w:val="Normal"/>
        <w:rPr/>
      </w:pPr>
      <w:r>
        <w:rPr>
          <w:rStyle w:val="Itempublisher"/>
        </w:rPr>
        <w:t>SIL International et al</w:t>
      </w:r>
      <w:r>
        <w:rPr/>
        <w:t xml:space="preserve">. 2005. </w:t>
      </w:r>
      <w:r>
        <w:rPr>
          <w:i/>
        </w:rPr>
        <w:t>Ethnologue: Languages of the World</w:t>
      </w:r>
      <w:r>
        <w:rPr/>
        <w:t xml:space="preserve">. Dallas, </w:t>
      </w:r>
      <w:r>
        <w:rPr>
          <w:rStyle w:val="Itempublisher"/>
        </w:rPr>
        <w:t>Texas: SIL International.</w:t>
      </w:r>
    </w:p>
    <w:p>
      <w:pPr>
        <w:pStyle w:val="Normal"/>
        <w:rPr>
          <w:rStyle w:val="Itempublisher"/>
        </w:rPr>
      </w:pPr>
      <w:r>
        <w:rPr/>
      </w:r>
    </w:p>
    <w:p>
      <w:pPr>
        <w:pStyle w:val="Normal"/>
        <w:rPr/>
      </w:pPr>
      <w:r>
        <w:rPr/>
        <w:t xml:space="preserve">Simons, F.A.A. 1879. “Notes on the Topography of the Sierra Nevada de Santa Marta,” </w:t>
      </w:r>
      <w:r>
        <w:rPr>
          <w:i/>
        </w:rPr>
        <w:t>Proceedings of the Royal Geographical Society and Monthly Record of Geography</w:t>
      </w:r>
      <w:r>
        <w:rPr/>
        <w:t xml:space="preserve"> 1, 11 (Nov): 689-694. </w:t>
      </w:r>
    </w:p>
    <w:p>
      <w:pPr>
        <w:pStyle w:val="Normal"/>
        <w:rPr/>
      </w:pPr>
      <w:r>
        <w:rPr/>
      </w:r>
    </w:p>
    <w:p>
      <w:pPr>
        <w:pStyle w:val="Normal"/>
        <w:rPr/>
      </w:pPr>
      <w:r>
        <w:rPr/>
        <w:t xml:space="preserve">1881. “On the Sierra Nevada de Santa Marta and Its Watershed (State of Magdalena, U.S. of Colombia),” </w:t>
      </w:r>
      <w:r>
        <w:rPr>
          <w:i/>
        </w:rPr>
        <w:t>Proceedings of the Royal Geographical Society and Monthly Record of Geography</w:t>
      </w:r>
      <w:r>
        <w:rPr/>
        <w:t xml:space="preserve"> 3, 12 (Dec): 705-723.</w:t>
      </w:r>
    </w:p>
    <w:p>
      <w:pPr>
        <w:pStyle w:val="Normal"/>
        <w:rPr/>
      </w:pPr>
      <w:r>
        <w:rPr/>
      </w:r>
    </w:p>
    <w:p>
      <w:pPr>
        <w:pStyle w:val="Normal"/>
        <w:rPr/>
      </w:pPr>
      <w:r>
        <w:rPr/>
        <w:t xml:space="preserve">Tairona. 2015. </w:t>
      </w:r>
      <w:hyperlink r:id="rId26">
        <w:r>
          <w:rPr>
            <w:rStyle w:val="InternetLink"/>
          </w:rPr>
          <w:t>http://tairona.myzen.co.uk/</w:t>
        </w:r>
      </w:hyperlink>
      <w:r>
        <w:rPr/>
        <w:t>).</w:t>
      </w:r>
    </w:p>
    <w:p>
      <w:pPr>
        <w:pStyle w:val="Normal"/>
        <w:rPr/>
      </w:pPr>
      <w:r>
        <w:rPr/>
      </w:r>
    </w:p>
    <w:p>
      <w:pPr>
        <w:pStyle w:val="Normal"/>
        <w:rPr/>
      </w:pPr>
      <w:r>
        <w:rPr/>
        <w:t xml:space="preserve">Uribe Tobon, Carlos Alberto. 1990. “We, the Elder Brothers: Continuity and change among the Kággabba of the Sierra Nevada de Santa Marta, Colombia.” Unpublished PhD dissertation, Pittsburgh, University of Pittsburgh. </w:t>
      </w:r>
    </w:p>
    <w:p>
      <w:pPr>
        <w:pStyle w:val="Normal"/>
        <w:rPr/>
      </w:pPr>
      <w:r>
        <w:rPr/>
      </w:r>
    </w:p>
    <w:p>
      <w:pPr>
        <w:pStyle w:val="Normal"/>
        <w:rPr/>
      </w:pPr>
      <w:r>
        <w:rPr/>
        <w:t>1996. “Destrucción de templos indígenas en la Sierra Nevada de Santa Marta: siglo XVII,” Boletín del Museo del Oro 40: 17-36.</w:t>
      </w:r>
    </w:p>
    <w:p>
      <w:pPr>
        <w:pStyle w:val="Normal"/>
        <w:rPr/>
      </w:pPr>
      <w:r>
        <w:rPr/>
      </w:r>
    </w:p>
    <w:p>
      <w:pPr>
        <w:pStyle w:val="Normal"/>
        <w:rPr/>
      </w:pPr>
      <w:r>
        <w:rPr/>
        <w:t xml:space="preserve">Vinalesa, José de. 1952. </w:t>
      </w:r>
      <w:r>
        <w:rPr>
          <w:i/>
        </w:rPr>
        <w:t>Los indios arhuacos de la Sierra Nevada de Santa Marta</w:t>
      </w:r>
      <w:r>
        <w:rPr/>
        <w:t xml:space="preserve">. RIEN. Bogotá: Editorial Iqueima. </w:t>
      </w:r>
    </w:p>
    <w:p>
      <w:pPr>
        <w:pStyle w:val="Normal"/>
        <w:rPr/>
      </w:pPr>
      <w:r>
        <w:rPr/>
      </w:r>
    </w:p>
    <w:p>
      <w:pPr>
        <w:pStyle w:val="NormalWeb"/>
        <w:rPr>
          <w:b/>
          <w:b/>
        </w:rPr>
      </w:pPr>
      <w:r>
        <w:rPr>
          <w:b/>
        </w:rPr>
      </w:r>
    </w:p>
    <w:p>
      <w:pPr>
        <w:pStyle w:val="NormalWeb"/>
        <w:rPr>
          <w:b/>
          <w:b/>
        </w:rPr>
      </w:pPr>
      <w:r>
        <w:rPr>
          <w:b/>
        </w:rPr>
      </w:r>
    </w:p>
    <w:p>
      <w:pPr>
        <w:pStyle w:val="NormalWeb"/>
        <w:rPr>
          <w:b/>
          <w:b/>
        </w:rPr>
      </w:pPr>
      <w:r>
        <w:rPr>
          <w:b/>
        </w:rPr>
        <w:t xml:space="preserve">APPENDIX: </w:t>
      </w:r>
    </w:p>
    <w:p>
      <w:pPr>
        <w:pStyle w:val="NormalWeb"/>
        <w:rPr>
          <w:rStyle w:val="StrongEmphasis"/>
          <w:b w:val="false"/>
          <w:b w:val="false"/>
        </w:rPr>
      </w:pPr>
      <w:r>
        <w:rPr/>
        <w:t xml:space="preserve">The Four Tairona Ethnolinguistic Sub-groups of the Chibcha Family, Kuna Sub-Family, Arhuacicio Group:  </w:t>
      </w:r>
    </w:p>
    <w:p>
      <w:pPr>
        <w:pStyle w:val="Normal"/>
        <w:ind w:start="720" w:hanging="0"/>
        <w:rPr>
          <w:rStyle w:val="StrongEmphasis"/>
          <w:b w:val="false"/>
          <w:b w:val="false"/>
          <w:bCs w:val="false"/>
        </w:rPr>
      </w:pPr>
      <w:r>
        <w:rPr>
          <w:rStyle w:val="StrongEmphasis"/>
        </w:rPr>
        <w:t xml:space="preserve">Arhuaco (aka Aruaco, Bintuk, Bintukua, Binmticua, Ica, Ijka, Ika, Ike), pop. 14,301, (Arango and </w:t>
        <w:tab/>
        <w:t xml:space="preserve">Sanchez 1998, SIL 2005); </w:t>
      </w:r>
      <w:r>
        <w:rPr>
          <w:rStyle w:val="StrongEmphasis"/>
          <w:sz w:val="20"/>
          <w:szCs w:val="20"/>
        </w:rPr>
        <w:t xml:space="preserve">S </w:t>
      </w:r>
      <w:r>
        <w:rPr>
          <w:rStyle w:val="StrongEmphasis"/>
        </w:rPr>
        <w:t xml:space="preserve">slope, </w:t>
      </w:r>
      <w:r>
        <w:rPr/>
        <w:t>10°42'N, 73°38'W.</w:t>
      </w:r>
    </w:p>
    <w:p>
      <w:pPr>
        <w:pStyle w:val="Normal"/>
        <w:ind w:start="720" w:hanging="0"/>
        <w:rPr>
          <w:rStyle w:val="StrongEmphasis"/>
          <w:b w:val="false"/>
          <w:b w:val="false"/>
          <w:bCs w:val="false"/>
        </w:rPr>
      </w:pPr>
      <w:r>
        <w:rPr>
          <w:rStyle w:val="StrongEmphasis"/>
        </w:rPr>
        <w:t>Kankuamo (aka</w:t>
      </w:r>
      <w:r>
        <w:rPr/>
        <w:t xml:space="preserve"> Atanque, Atanques, Cancuamo, Kankwe, Kankuí,</w:t>
      </w:r>
      <w:r>
        <w:rPr>
          <w:rFonts w:cs="Arial" w:ascii="Arial" w:hAnsi="Arial"/>
          <w:color w:val="222222"/>
          <w:sz w:val="21"/>
          <w:szCs w:val="21"/>
          <w:shd w:fill="FFFFFF" w:val="clear"/>
        </w:rPr>
        <w:t xml:space="preserve"> </w:t>
      </w:r>
      <w:r>
        <w:rPr>
          <w:color w:val="222222"/>
          <w:shd w:fill="FFFFFF" w:val="clear"/>
        </w:rPr>
        <w:t>Kankuaka, Kankuané</w:t>
      </w:r>
      <w:r>
        <w:rPr>
          <w:b/>
          <w:color w:val="222222"/>
          <w:shd w:fill="FFFFFF" w:val="clear"/>
        </w:rPr>
        <w:t>)</w:t>
      </w:r>
      <w:r>
        <w:rPr>
          <w:rStyle w:val="StrongEmphasis"/>
        </w:rPr>
        <w:t>, pop. 15,000 (</w:t>
      </w:r>
      <w:hyperlink r:id="rId27">
        <w:r>
          <w:rPr>
            <w:rStyle w:val="InternetLink"/>
          </w:rPr>
          <w:t>https://en.wikipedia.org/wiki/Kankuamo</w:t>
        </w:r>
      </w:hyperlink>
      <w:r>
        <w:rPr>
          <w:rStyle w:val="StrongEmphasis"/>
        </w:rPr>
        <w:t xml:space="preserve">; </w:t>
      </w:r>
      <w:r>
        <w:rPr>
          <w:rStyle w:val="HTMLCite"/>
        </w:rPr>
        <w:t>Hammarström, Forkel, Haspelmath, Bank, 2016)</w:t>
      </w:r>
      <w:r>
        <w:rPr>
          <w:rStyle w:val="StrongEmphasis"/>
        </w:rPr>
        <w:t xml:space="preserve">; </w:t>
      </w:r>
      <w:r>
        <w:rPr>
          <w:rStyle w:val="StrongEmphasis"/>
          <w:sz w:val="20"/>
          <w:szCs w:val="20"/>
        </w:rPr>
        <w:t>S</w:t>
      </w:r>
      <w:r>
        <w:rPr>
          <w:rStyle w:val="StrongEmphasis"/>
        </w:rPr>
        <w:t xml:space="preserve"> slope, </w:t>
      </w:r>
      <w:r>
        <w:rPr/>
        <w:t>10°45'N, 73°21'W</w:t>
      </w:r>
    </w:p>
    <w:p>
      <w:pPr>
        <w:pStyle w:val="Normal"/>
        <w:ind w:start="720" w:hanging="0"/>
        <w:rPr>
          <w:rStyle w:val="StrongEmphasis"/>
        </w:rPr>
      </w:pPr>
      <w:r>
        <w:rPr>
          <w:b/>
        </w:rPr>
        <w:t>Kogi</w:t>
      </w:r>
      <w:r>
        <w:rPr/>
        <w:t xml:space="preserve"> (aka Cogui or Kágaba, Kággaba = “jaguar”), pop. 9,770 (SIL 2005, 1998 census); </w:t>
      </w:r>
      <w:r>
        <w:rPr>
          <w:sz w:val="20"/>
          <w:szCs w:val="20"/>
        </w:rPr>
        <w:t>N, E, W</w:t>
      </w:r>
      <w:r>
        <w:rPr/>
        <w:t xml:space="preserve"> slopes; </w:t>
        <w:tab/>
        <w:t>10°57'N, 73°48'W.</w:t>
        <w:br/>
      </w:r>
      <w:r>
        <w:rPr>
          <w:rStyle w:val="StrongEmphasis"/>
        </w:rPr>
        <w:t>Malayo (aka</w:t>
      </w:r>
      <w:r>
        <w:rPr/>
        <w:t xml:space="preserve"> Arosario,</w:t>
      </w:r>
      <w:r>
        <w:rPr>
          <w:rStyle w:val="StrongEmphasis"/>
        </w:rPr>
        <w:t xml:space="preserve"> Arsaro, </w:t>
      </w:r>
      <w:r>
        <w:rPr/>
        <w:t xml:space="preserve">Damana, Guamaca, Gauarmaka, Guamaco, Maracasero, Sanja, Sanka, </w:t>
        <w:tab/>
        <w:t>Wiwa) (</w:t>
      </w:r>
      <w:r>
        <w:rPr>
          <w:rStyle w:val="StrongEmphasis"/>
        </w:rPr>
        <w:t xml:space="preserve">SIL 2005, </w:t>
      </w:r>
      <w:r>
        <w:rPr>
          <w:rStyle w:val="HTMLCite"/>
        </w:rPr>
        <w:t xml:space="preserve">Hammarström, Forkel, Haspelmath, Bank 2016; pop. 7,000, Joshua Project </w:t>
        <w:tab/>
        <w:t>2017</w:t>
      </w:r>
      <w:r>
        <w:rPr>
          <w:rStyle w:val="HTMLCite"/>
          <w:b/>
        </w:rPr>
        <w:t>)</w:t>
      </w:r>
      <w:r>
        <w:rPr>
          <w:rStyle w:val="StrongEmphasis"/>
        </w:rPr>
        <w:t xml:space="preserve">: </w:t>
      </w:r>
      <w:r>
        <w:rPr>
          <w:rStyle w:val="StrongEmphasis"/>
          <w:sz w:val="20"/>
          <w:szCs w:val="20"/>
        </w:rPr>
        <w:t>S, E</w:t>
      </w:r>
      <w:r>
        <w:rPr>
          <w:rStyle w:val="StrongEmphasis"/>
        </w:rPr>
        <w:t xml:space="preserve"> slopes; </w:t>
      </w:r>
      <w:r>
        <w:rPr/>
        <w:t>10°56'N, 73°24'W.</w:t>
      </w:r>
    </w:p>
    <w:p>
      <w:pPr>
        <w:pStyle w:val="NormalWeb"/>
        <w:spacing w:before="0" w:after="0"/>
        <w:rPr/>
      </w:pPr>
      <w:r>
        <w:rPr>
          <w:b/>
        </w:rPr>
        <w:t>ARHUACO</w:t>
        <w:tab/>
      </w:r>
    </w:p>
    <w:p>
      <w:pPr>
        <w:pStyle w:val="NormalWeb"/>
        <w:spacing w:before="0" w:after="0"/>
        <w:rPr/>
      </w:pPr>
      <w:r>
        <w:rPr/>
        <w:tab/>
        <w:t>The Arhuacos live in the upper valleys of the Piedras River, San Sebastian River, Chichicua River, Ariguani River, and Guatapuri River, in an indigenous territory in the Sierra Nevada de Santa Marta Mountains. Their traditional territory before the Spanish colonization, was larger than today's boundaries which exclude many of their sacred sites that they continue to visit today, to bring offerings. These territories are lower in the massif and, therefore, have been taken over by colonial farmers.</w:t>
      </w:r>
    </w:p>
    <w:p>
      <w:pPr>
        <w:pStyle w:val="NormalWeb"/>
        <w:spacing w:before="0" w:after="0"/>
        <w:rPr/>
      </w:pPr>
      <w:r>
        <w:rPr/>
        <w:tab/>
        <w:t>In 1916 the Arhuacos requested teachers from the government to learn to read, write and study arithmetic, but instead the government sent Capuchin 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Pr>
          <w:rStyle w:val="Shorttext"/>
          <w:i/>
          <w:lang w:val="es-ES"/>
        </w:rPr>
        <w:t>Régimen de terror.</w:t>
      </w:r>
      <w:r>
        <w:rP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rP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rPr/>
        <w:t xml:space="preserve">, and in 1972 they created the </w:t>
      </w:r>
      <w:r>
        <w:rPr>
          <w:i/>
          <w:iCs/>
        </w:rPr>
        <w:t>cabildo Gobernador</w:t>
      </w:r>
      <w:r>
        <w:rPr/>
        <w:t>, a better-structured and adequate organization to defend their values and land with real lawyers.</w:t>
      </w:r>
    </w:p>
    <w:p>
      <w:pPr>
        <w:pStyle w:val="NormalWeb"/>
        <w:spacing w:before="0" w:after="0"/>
        <w:rPr/>
      </w:pPr>
      <w:r>
        <w:rPr/>
        <w:tab/>
        <w:t xml:space="preserve">Then in 1975 the drug craze hit Colombia. Colonials started cultivating marihuana on Arhuacos’ land and initially imposed conscription on them to work their fields, but when the real marihuana </w:t>
      </w:r>
      <w:r>
        <w:rPr>
          <w:iCs/>
        </w:rPr>
        <w:t>bonanza</w:t>
      </w:r>
      <w:r>
        <w:rPr/>
        <w:t xml:space="preserve"> hit in the 1970’s, some Tairona descendants were released and voluntarily worked for escalating wages. Simultaneously, commercial coca planting was begun by drug dealers, but this evolved into the Colombian Armed Conflict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2,3,7,8-tetrachlorodibenzo-p-dioxin (TCDD) a deadly carcinogen that damages genes, resulting in birth defects, promotes leukemia, Hodgkin's lymphoma, and various cancers (</w:t>
      </w:r>
      <w:r>
        <w:rPr>
          <w:rStyle w:val="HTMLCite"/>
        </w:rPr>
        <w:t>National Institutes of Health 1994: 90)</w:t>
      </w:r>
      <w:r>
        <w:rPr/>
        <w:t>. The Arhuacos have been suffering these diseases ever since.</w:t>
      </w:r>
    </w:p>
    <w:p>
      <w:pPr>
        <w:pStyle w:val="NormalWeb"/>
        <w:spacing w:before="0" w:after="0"/>
        <w:rPr/>
      </w:pPr>
      <w:r>
        <w:rPr/>
        <w:tab/>
        <w:t xml:space="preserve">Apart from the drug wars the Colombian government is constructing hydroelectric dams and ecotourism routes into the Sierra Nevada de Santa Marta. The Arhuacos are strongly opposed to both of these projects and have organized the </w:t>
      </w:r>
      <w:r>
        <w:rPr>
          <w:i/>
          <w:iCs/>
        </w:rPr>
        <w:t>Confederación Indígena Tairona</w:t>
      </w:r>
      <w:r>
        <w:rPr/>
        <w:t xml:space="preserve"> (Tairona Indigenous Confederation). The success of this effort has yet to be determined. </w:t>
      </w:r>
      <w:r>
        <w:rPr>
          <w:i/>
        </w:rPr>
        <w:t>Mámas</w:t>
      </w:r>
      <w:r>
        <w:rPr/>
        <w:t xml:space="preserve"> are duly charged with protecting their spiritual rights as their appointed caciques are appointed to protect their political rights. This golden figurine dating to before the Spanish conquest suggests the equanimity the </w:t>
      </w:r>
      <w:r>
        <w:rPr>
          <w:i/>
        </w:rPr>
        <w:t>Mámas</w:t>
      </w:r>
      <w:r>
        <w:rPr/>
        <w:t xml:space="preserve"> have in confronting challenges. The photograph below captures a modern day picture of this harmony as it can be read in their faces.</w:t>
      </w:r>
    </w:p>
    <w:p>
      <w:pPr>
        <w:pStyle w:val="NormalWeb"/>
        <w:spacing w:before="0" w:after="0"/>
        <w:rPr>
          <w:lang w:val="en-US" w:eastAsia="en-US"/>
        </w:rPr>
      </w:pPr>
      <w:r>
        <w:rPr>
          <w:lang w:val="en-US" w:eastAsia="en-US"/>
        </w:rPr>
        <w:drawing>
          <wp:inline distT="0" distB="0" distL="0" distR="0">
            <wp:extent cx="3900170" cy="2485390"/>
            <wp:effectExtent l="0" t="0" r="0" b="0"/>
            <wp:docPr id="12" name="Pictur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descr="" title=""/>
                    <pic:cNvPicPr>
                      <a:picLocks noChangeAspect="1" noChangeArrowheads="1"/>
                    </pic:cNvPicPr>
                  </pic:nvPicPr>
                  <pic:blipFill>
                    <a:blip r:embed="rId28"/>
                    <a:srcRect l="-4" t="-6" r="-4" b="-6"/>
                    <a:stretch>
                      <a:fillRect/>
                    </a:stretch>
                  </pic:blipFill>
                  <pic:spPr bwMode="auto">
                    <a:xfrm>
                      <a:off x="0" y="0"/>
                      <a:ext cx="3900170" cy="2485390"/>
                    </a:xfrm>
                    <a:prstGeom prst="rect">
                      <a:avLst/>
                    </a:prstGeom>
                  </pic:spPr>
                </pic:pic>
              </a:graphicData>
            </a:graphic>
          </wp:inline>
        </w:drawing>
      </w:r>
    </w:p>
    <w:p>
      <w:pPr>
        <w:pStyle w:val="NormalWeb"/>
        <w:spacing w:before="0" w:after="0"/>
        <w:rPr/>
      </w:pPr>
      <w:r>
        <w:rPr/>
        <w:t xml:space="preserve">Fig. 11. Six experienced  Kogi </w:t>
      </w:r>
      <w:r>
        <w:rPr>
          <w:i/>
        </w:rPr>
        <w:t>Mámas</w:t>
      </w:r>
      <w:r>
        <w:rPr/>
        <w:t>. From http://ifmanworld.org/wp-content/uploads/2015/10/IMG_0106-2.jpg</w:t>
      </w:r>
    </w:p>
    <w:p>
      <w:pPr>
        <w:pStyle w:val="NormalWeb"/>
        <w:spacing w:before="0" w:after="0"/>
        <w:rPr/>
      </w:pPr>
      <w:r>
        <w:rPr/>
      </w:r>
    </w:p>
    <w:p>
      <w:pPr>
        <w:pStyle w:val="NormalWeb"/>
        <w:spacing w:before="0" w:after="0"/>
        <w:rPr>
          <w:b/>
          <w:b/>
        </w:rPr>
      </w:pPr>
      <w:r>
        <w:rPr>
          <w:b/>
        </w:rPr>
        <w:t>KANKUAMO</w:t>
      </w:r>
    </w:p>
    <w:p>
      <w:pPr>
        <w:pStyle w:val="NormalWeb"/>
        <w:shd w:fill="FFFFFF" w:val="clear"/>
        <w:spacing w:before="120" w:after="120"/>
        <w:rPr>
          <w:color w:val="222222"/>
        </w:rPr>
      </w:pPr>
      <w:r>
        <w:rPr>
          <w:color w:val="222222"/>
        </w:rPr>
        <w:t xml:space="preserve">The area inhabited by the Kankuamo (aka Arzario, Chimila, </w:t>
      </w:r>
      <w:r>
        <w:rPr>
          <w:iCs/>
        </w:rPr>
        <w:t>Ette Ennaka,</w:t>
      </w:r>
      <w:r>
        <w:rPr>
          <w:color w:val="222222"/>
        </w:rPr>
        <w:t xml:space="preserve"> Guanebucanes, Wiwa) in </w:t>
      </w:r>
      <w:r>
        <w:rPr>
          <w:color w:val="222222"/>
          <w:sz w:val="20"/>
          <w:szCs w:val="20"/>
        </w:rPr>
        <w:t>N</w:t>
      </w:r>
      <w:r>
        <w:rPr>
          <w:color w:val="222222"/>
        </w:rPr>
        <w:t xml:space="preserve"> Colombia was confiscated by the Province of Santa Marta in 1524 (See Map, Fig. 6).</w:t>
      </w:r>
      <w:r>
        <w:rPr>
          <w:b/>
          <w:color w:val="222222"/>
        </w:rPr>
        <w:t xml:space="preserve"> </w:t>
      </w:r>
      <w:r>
        <w:rPr/>
        <w:t xml:space="preserve">Two hundred years later in 1720 the </w:t>
      </w:r>
      <w:r>
        <w:rPr>
          <w:color w:val="222222"/>
        </w:rPr>
        <w:t>Kankuamo</w:t>
      </w:r>
      <w:r>
        <w:rPr/>
        <w:t xml:space="preserve"> began a guerrilla war against their Spanish colonial overlords. However, </w:t>
      </w:r>
      <w:r>
        <w:rPr>
          <w:color w:val="222222"/>
        </w:rPr>
        <w:t xml:space="preserve">the Spanish, continued to colonize the plains surrounding </w:t>
      </w:r>
      <w:r>
        <w:rPr>
          <w:rStyle w:val="Capitems"/>
          <w:i/>
        </w:rPr>
        <w:t>Gonawindua</w:t>
      </w:r>
      <w:r>
        <w:rPr/>
        <w:t xml:space="preserve"> (Sierra Nevada de Santa Marta)</w:t>
      </w:r>
      <w:r>
        <w:rPr>
          <w:color w:val="222222"/>
        </w:rPr>
        <w:t xml:space="preserve">. By 1850 the Spanish were proceeding to colonize the massif itself, but in order to do this they had to remove the indigenous from their mountainous settlements to less valuable land. Under the spiritual guidance of a </w:t>
      </w:r>
      <w:r>
        <w:rPr>
          <w:iCs/>
          <w:color w:val="222222"/>
        </w:rPr>
        <w:t xml:space="preserve">Kankuamo </w:t>
      </w:r>
      <w:r>
        <w:rPr>
          <w:i/>
          <w:iCs/>
          <w:color w:val="222222"/>
        </w:rPr>
        <w:t>Máma</w:t>
      </w:r>
      <w:r>
        <w:rPr>
          <w:color w:val="222222"/>
        </w:rPr>
        <w:t>, Tukaka, the indigenous were removed to three new villages -- Atanquez, Maraocaso and El Rosario -- which grew due to the displacement of other people. Even former African slaves were removed to Atanquez, forming the “Palenque of Atanquez.” The Spanish sent Capuchin and Dominican monks to “civilize” these mixed exogenous and indigenous heathen and named it San Sebastian (</w:t>
      </w:r>
      <w:r>
        <w:rPr>
          <w:rStyle w:val="Referencetext"/>
        </w:rPr>
        <w:t>Gutierrez Hinojosa 2000: 127).</w:t>
      </w:r>
      <w:r>
        <w:rPr>
          <w:color w:val="222222"/>
        </w:rPr>
        <w:t xml:space="preserve"> Even the indigenous had trouble settling on a name for this settlement: the Kogi named these people the "Wiwa", while the Arhuaco called them "Arzario.” </w:t>
      </w:r>
      <w:r>
        <w:rPr/>
        <w:t>Sporadic violence continued into the mid-twentieth century, until, in 1990, an indigenous reservation called “Issa Oristuna” was created (</w:t>
      </w:r>
      <w:r>
        <w:rPr>
          <w:rStyle w:val="Referencetext"/>
        </w:rPr>
        <w:t xml:space="preserve">Adelaar and Muysken 2004: 75). </w:t>
      </w:r>
      <w:r>
        <w:rPr>
          <w:color w:val="222222"/>
        </w:rPr>
        <w:t xml:space="preserve"> </w:t>
      </w:r>
    </w:p>
    <w:p>
      <w:pPr>
        <w:pStyle w:val="NormalWeb"/>
        <w:shd w:fill="FFFFFF" w:val="clear"/>
        <w:spacing w:before="120" w:after="120"/>
        <w:rPr>
          <w:rStyle w:val="Referencetext"/>
        </w:rPr>
      </w:pPr>
      <w:r>
        <w:rPr>
          <w:color w:val="222222"/>
        </w:rPr>
        <w:tab/>
        <w:t>Between 1986 and 2003 the Colombian Armed Conflict involved the people of Atanquez with 197 Kankuamos executed by the paramilitary group</w:t>
      </w:r>
      <w:r>
        <w:rPr>
          <w:i/>
          <w:iCs/>
        </w:rPr>
        <w:t xml:space="preserve"> Autodefensas Unidas de Colombia</w:t>
      </w:r>
      <w:r>
        <w:rPr>
          <w:color w:val="222222"/>
        </w:rPr>
        <w:t xml:space="preserve">  (AUC, “United Self-Defenders of Colombia”), and two guerrillas units the </w:t>
      </w:r>
      <w:r>
        <w:rPr>
          <w:i/>
          <w:iCs/>
          <w:lang w:val="es-ES"/>
        </w:rPr>
        <w:t>Fuerzas Armadas Revolucionarias de Colombia</w:t>
      </w:r>
      <w:r>
        <w:rPr>
          <w:color w:val="222222"/>
        </w:rPr>
        <w:t>  (FARC, “Revolutionary Armed Forces of Colombia”) and the </w:t>
      </w:r>
      <w:r>
        <w:rPr>
          <w:i/>
          <w:iCs/>
        </w:rPr>
        <w:t>Ejército de Liberación Nacional</w:t>
      </w:r>
      <w:r>
        <w:rPr>
          <w:color w:val="222222"/>
        </w:rPr>
        <w:t> (ELN, “National Liberation Army”). These groups flourished in the region due to the marijuana bonanza of the 1970’s and later the use of their traditional coca plants to produce cocaine and the introduction of </w:t>
      </w:r>
      <w:r>
        <w:rPr/>
        <w:t>opium poppy (</w:t>
      </w:r>
      <w:r>
        <w:rPr>
          <w:i/>
          <w:iCs/>
        </w:rPr>
        <w:t>Papaver somniferum</w:t>
      </w:r>
      <w:r>
        <w:rPr/>
        <w:t>)</w:t>
      </w:r>
      <w:r>
        <w:rPr>
          <w:b/>
        </w:rPr>
        <w:t xml:space="preserve"> </w:t>
      </w:r>
      <w:r>
        <w:rPr>
          <w:color w:val="222222"/>
        </w:rPr>
        <w:t>plantations (</w:t>
      </w:r>
      <w:r>
        <w:rPr/>
        <w:t>González-Plazas 2008), while at the same time they continued in the production of traditional food stuffs such as</w:t>
      </w:r>
      <w:r>
        <w:rPr>
          <w:color w:val="222222"/>
        </w:rPr>
        <w:t> panela (</w:t>
      </w:r>
      <w:r>
        <w:rPr/>
        <w:t>unrefined whole cane sugar)</w:t>
      </w:r>
      <w:r>
        <w:rPr>
          <w:color w:val="222222"/>
        </w:rPr>
        <w:t>, alcohol from maize and sugar cane, </w:t>
      </w:r>
      <w:r>
        <w:rPr/>
        <w:t xml:space="preserve">fique (a natural fiber of the fique plant, </w:t>
      </w:r>
      <w:r>
        <w:rPr>
          <w:i/>
          <w:iCs/>
        </w:rPr>
        <w:t>Furcraea andina,</w:t>
      </w:r>
      <w:r>
        <w:rPr/>
        <w:t xml:space="preserve"> used in textiles and ropes), </w:t>
      </w:r>
      <w:r>
        <w:rPr>
          <w:color w:val="222222"/>
        </w:rPr>
        <w:t>medicinal plants, local fruits and vegetables, cacao and coffee which is commercialize in Valledupar (</w:t>
      </w:r>
      <w:r>
        <w:rPr>
          <w:rStyle w:val="Referencetext"/>
        </w:rPr>
        <w:t>Gutierrez Hinojosa 2000: 126).</w:t>
      </w:r>
    </w:p>
    <w:p>
      <w:pPr>
        <w:pStyle w:val="NormalWeb"/>
        <w:shd w:fill="FFFFFF" w:val="clear"/>
        <w:spacing w:before="120" w:after="120"/>
        <w:rPr>
          <w:rStyle w:val="Referencetext"/>
          <w:color w:val="222222"/>
        </w:rPr>
      </w:pPr>
      <w:r>
        <w:rPr/>
      </w:r>
    </w:p>
    <w:p>
      <w:pPr>
        <w:pStyle w:val="NormalWeb"/>
        <w:spacing w:before="0" w:after="0"/>
        <w:rPr>
          <w:b/>
          <w:b/>
        </w:rPr>
      </w:pPr>
      <w:r>
        <w:rPr>
          <w:b/>
        </w:rPr>
        <w:t>KOGI</w:t>
      </w:r>
    </w:p>
    <w:p>
      <w:pPr>
        <w:pStyle w:val="NormalWeb"/>
        <w:spacing w:before="0" w:after="0"/>
        <w:rPr/>
      </w:pPr>
      <w:r>
        <w:rP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pPr>
        <w:pStyle w:val="NormalWeb"/>
        <w:spacing w:before="0" w:after="0"/>
        <w:rPr>
          <w:lang w:val="en-US" w:eastAsia="en-US"/>
        </w:rPr>
      </w:pPr>
      <w:r>
        <w:rPr>
          <w:lang w:val="en-US" w:eastAsia="en-US"/>
        </w:rPr>
        <w:drawing>
          <wp:inline distT="0" distB="0" distL="0" distR="0">
            <wp:extent cx="4157980" cy="2531110"/>
            <wp:effectExtent l="0" t="0" r="0" b="0"/>
            <wp:docPr id="13" name="Pictur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 title=""/>
                    <pic:cNvPicPr>
                      <a:picLocks noChangeAspect="1" noChangeArrowheads="1"/>
                    </pic:cNvPicPr>
                  </pic:nvPicPr>
                  <pic:blipFill>
                    <a:blip r:embed="rId29"/>
                    <a:srcRect l="-3" t="-5" r="-3" b="-5"/>
                    <a:stretch>
                      <a:fillRect/>
                    </a:stretch>
                  </pic:blipFill>
                  <pic:spPr bwMode="auto">
                    <a:xfrm>
                      <a:off x="0" y="0"/>
                      <a:ext cx="4157980" cy="2531110"/>
                    </a:xfrm>
                    <a:prstGeom prst="rect">
                      <a:avLst/>
                    </a:prstGeom>
                  </pic:spPr>
                </pic:pic>
              </a:graphicData>
            </a:graphic>
          </wp:inline>
        </w:drawing>
      </w:r>
    </w:p>
    <w:p>
      <w:pPr>
        <w:pStyle w:val="NormalWeb"/>
        <w:spacing w:before="0" w:after="0"/>
        <w:rPr>
          <w:rStyle w:val="StrongEmphasis"/>
          <w:b w:val="false"/>
          <w:b w:val="false"/>
        </w:rPr>
      </w:pPr>
      <w:r>
        <w:rPr/>
        <w:t xml:space="preserve">Fig. 12. A Kogi village nestled into a tiny valley high in </w:t>
      </w:r>
      <w:r>
        <w:rPr>
          <w:rStyle w:val="StrongEmphasis"/>
        </w:rPr>
        <w:t xml:space="preserve">the </w:t>
      </w:r>
      <w:r>
        <w:rPr/>
        <w:t>(Sierra Nevada de Santa Marta)</w:t>
      </w:r>
      <w:r>
        <w:rPr>
          <w:rStyle w:val="StrongEmphasis"/>
        </w:rPr>
        <w:t xml:space="preserve"> at 10°57'N, 73°48'W; from </w:t>
      </w:r>
      <w:hyperlink r:id="rId30">
        <w:r>
          <w:rPr>
            <w:rStyle w:val="InternetLink"/>
          </w:rPr>
          <w:t>https://laviebyc.files.wordpress.com/2014/10/image39.jpg</w:t>
        </w:r>
      </w:hyperlink>
      <w:r>
        <w:rPr>
          <w:rStyle w:val="StrongEmphasis"/>
        </w:rPr>
        <w:t>.</w:t>
      </w:r>
    </w:p>
    <w:p>
      <w:pPr>
        <w:pStyle w:val="NormalWeb"/>
        <w:spacing w:before="0" w:after="0"/>
        <w:rPr>
          <w:rStyle w:val="StrongEmphasis"/>
          <w:b w:val="false"/>
          <w:b w:val="false"/>
        </w:rPr>
      </w:pPr>
      <w:r>
        <w:rPr/>
      </w:r>
    </w:p>
    <w:p>
      <w:pPr>
        <w:pStyle w:val="NormalWeb"/>
        <w:spacing w:before="0" w:after="0"/>
        <w:rPr/>
      </w:pPr>
      <w:r>
        <w:rPr/>
        <w:t xml:space="preserve">Two center posts in each domicile, male and female, express Kogi duality in architecture (see </w:t>
      </w:r>
      <w:r>
        <w:rPr>
          <w:rStyle w:val="StrongEmphasis"/>
        </w:rPr>
        <w:t>Fig. 10)</w:t>
      </w:r>
      <w:r>
        <w:rPr/>
        <w:t xml:space="preserve">. The two posts also metaphorically carry the Cosmic Egg as supported on the shoulders of </w:t>
      </w:r>
      <w:r>
        <w:rPr>
          <w:rStyle w:val="Emphasis"/>
        </w:rPr>
        <w:t xml:space="preserve">Seokúkui </w:t>
      </w:r>
      <w:r>
        <w:rPr/>
        <w:t xml:space="preserve">and </w:t>
      </w:r>
      <w:r>
        <w:rPr>
          <w:rStyle w:val="Emphasis"/>
        </w:rPr>
        <w:t>Seizankwa two spiritual offspring of the Mother Goddess</w:t>
      </w:r>
      <w:r>
        <w:rPr/>
        <w:t>.</w:t>
      </w:r>
    </w:p>
    <w:p>
      <w:pPr>
        <w:pStyle w:val="NormalWeb"/>
        <w:rPr/>
      </w:pPr>
      <w:r>
        <w:rPr/>
        <w:tab/>
        <w:t xml:space="preserve">Among the Kogi </w:t>
      </w:r>
      <w:r>
        <w:rPr>
          <w:i/>
        </w:rPr>
        <w:t xml:space="preserve">Mámas </w:t>
      </w:r>
      <w:r>
        <w:rPr/>
        <w:t xml:space="preserve">are identified at birth by a process akin to that of the choice of the next Dalai Lama. A dream or sign that is sensed by an elder </w:t>
      </w:r>
      <w:r>
        <w:rPr>
          <w:i/>
        </w:rPr>
        <w:t xml:space="preserve">Máma </w:t>
      </w:r>
      <w:r>
        <w:rPr/>
        <w:t>provides the incentive to search for the destined baby.</w:t>
      </w:r>
      <w:r>
        <w:rPr>
          <w:i/>
        </w:rPr>
        <w:t xml:space="preserve"> </w:t>
      </w:r>
      <w:r>
        <w:rPr/>
        <w:t xml:space="preserve">Once identified, the baby is taken from his birth-home at three months to live with the chief </w:t>
      </w:r>
      <w:r>
        <w:rPr>
          <w:i/>
        </w:rPr>
        <w:t>Máma</w:t>
      </w:r>
      <w:r>
        <w:rPr/>
        <w:t xml:space="preserve"> and his family, in which he is given moral training and instruction in the rituals and traditions of the village. Then when he becomes of age, about twenty, his role as a </w:t>
      </w:r>
      <w:r>
        <w:rPr>
          <w:i/>
        </w:rPr>
        <w:t>Máma</w:t>
      </w:r>
      <w:r>
        <w:rP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Pr>
          <w:i/>
        </w:rPr>
        <w:t xml:space="preserve">máma </w:t>
      </w:r>
      <w:r>
        <w:rPr/>
        <w:t xml:space="preserve">would have taken advantage of this knowledge for his own ends” (Reichel-Dolmatoff 1976: 272). The </w:t>
      </w:r>
      <w:r>
        <w:rPr>
          <w:i/>
        </w:rPr>
        <w:t>Máma</w:t>
      </w:r>
      <w:r>
        <w:rP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rP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rPr/>
        <w:t xml:space="preserve"> (Reichel-Dolmatoff 1976).</w:t>
      </w:r>
    </w:p>
    <w:p>
      <w:pPr>
        <w:pStyle w:val="NormalWeb"/>
        <w:spacing w:before="0" w:after="0"/>
        <w:rPr/>
      </w:pPr>
      <w:r>
        <w:rPr/>
        <w:tab/>
        <w:t xml:space="preserve">Since rocks emerge from the inchoate essence of </w:t>
      </w:r>
      <w:r>
        <w:rPr>
          <w:rStyle w:val="Emphasis"/>
        </w:rPr>
        <w:t>Gaulcováng</w:t>
      </w:r>
      <w:r>
        <w:rPr/>
        <w:t xml:space="preserve">, the Tairona have an allure of communicating through petroglyphs. Many of these images, which are abraded into stone (usually large boulders) by ancient </w:t>
      </w:r>
      <w:r>
        <w:rPr>
          <w:i/>
        </w:rPr>
        <w:t>Mámas</w:t>
      </w:r>
      <w:r>
        <w:rPr/>
        <w:t xml:space="preserve"> are used to encode mnemonic images of traditional worship, astronomy, stories, folklore and myths. </w:t>
      </w:r>
    </w:p>
    <w:p>
      <w:pPr>
        <w:pStyle w:val="NormalWeb"/>
        <w:spacing w:before="0" w:after="0"/>
        <w:rPr>
          <w:lang w:val="en-US" w:eastAsia="en-US"/>
        </w:rPr>
      </w:pPr>
      <w:r>
        <w:rPr>
          <w:lang w:val="en-US" w:eastAsia="en-US"/>
        </w:rPr>
        <w:drawing>
          <wp:inline distT="0" distB="0" distL="0" distR="0">
            <wp:extent cx="2432050" cy="4283710"/>
            <wp:effectExtent l="0" t="0" r="0" b="0"/>
            <wp:docPr id="14"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 title=""/>
                    <pic:cNvPicPr>
                      <a:picLocks noChangeAspect="1" noChangeArrowheads="1"/>
                    </pic:cNvPicPr>
                  </pic:nvPicPr>
                  <pic:blipFill>
                    <a:blip r:embed="rId31"/>
                    <a:srcRect l="-11" t="-6" r="-11" b="-6"/>
                    <a:stretch>
                      <a:fillRect/>
                    </a:stretch>
                  </pic:blipFill>
                  <pic:spPr bwMode="auto">
                    <a:xfrm>
                      <a:off x="0" y="0"/>
                      <a:ext cx="2432050" cy="4283710"/>
                    </a:xfrm>
                    <a:prstGeom prst="rect">
                      <a:avLst/>
                    </a:prstGeom>
                  </pic:spPr>
                </pic:pic>
              </a:graphicData>
            </a:graphic>
          </wp:inline>
        </w:drawing>
      </w:r>
    </w:p>
    <w:p>
      <w:pPr>
        <w:pStyle w:val="NormalWeb"/>
        <w:spacing w:before="0" w:after="0"/>
        <w:rPr/>
      </w:pPr>
      <w:r>
        <w:rP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pPr>
        <w:pStyle w:val="NormalWeb"/>
        <w:spacing w:before="0" w:after="0"/>
        <w:rPr/>
      </w:pPr>
      <w:r>
        <w:rPr/>
      </w:r>
    </w:p>
    <w:p>
      <w:pPr>
        <w:pStyle w:val="NormalWeb"/>
        <w:spacing w:before="0" w:after="0"/>
        <w:rPr/>
      </w:pPr>
      <w:r>
        <w:rPr/>
        <w:t>Another boulder covered with petroglyphs suggests the inchoate “Moment of Creation on Earth.” It presents in visual meanders and curvilinear figures what myths present in words (revised from a Kogi creation myth from Ereira (1993):</w:t>
      </w:r>
    </w:p>
    <w:p>
      <w:pPr>
        <w:pStyle w:val="NormalWeb"/>
        <w:spacing w:before="0" w:after="0"/>
        <w:ind w:start="720" w:hanging="0"/>
        <w:rPr/>
      </w:pPr>
      <w:r>
        <w:rPr/>
        <w:t>In the beginning, blackness.</w:t>
        <w:br/>
        <w:t>Only sea.</w:t>
        <w:br/>
        <w:t>In the beginning -- no sun, no moon, no people.</w:t>
        <w:br/>
        <w:t>In the beginning -- no animals, no plants.</w:t>
        <w:br/>
        <w:t>Only sea.</w:t>
      </w:r>
    </w:p>
    <w:p>
      <w:pPr>
        <w:pStyle w:val="NormalWeb"/>
        <w:spacing w:before="0" w:after="0"/>
        <w:ind w:start="720" w:hanging="0"/>
        <w:rPr/>
      </w:pPr>
      <w:r>
        <w:rPr/>
        <w:t>Sea was Mother. Mother was not people, not any Thing.</w:t>
        <w:br/>
        <w:t>No Thing at all.</w:t>
        <w:br/>
        <w:t>She was -- ominous.</w:t>
        <w:br/>
        <w:t>She was -- potential.</w:t>
        <w:br/>
        <w:t xml:space="preserve">She was -- </w:t>
      </w:r>
      <w:r>
        <w:rPr>
          <w:i/>
        </w:rPr>
        <w:t>aluna</w:t>
      </w:r>
      <w:r>
        <w:rPr/>
        <w:t>.</w:t>
        <w:br/>
      </w:r>
    </w:p>
    <w:p>
      <w:pPr>
        <w:pStyle w:val="NormalWeb"/>
        <w:spacing w:before="0" w:after="0"/>
        <w:rPr>
          <w:lang w:val="en-US" w:eastAsia="en-US"/>
        </w:rPr>
      </w:pPr>
      <w:r>
        <w:rPr>
          <w:lang w:val="en-US" w:eastAsia="en-US"/>
        </w:rPr>
        <w:drawing>
          <wp:inline distT="0" distB="0" distL="0" distR="0">
            <wp:extent cx="5158105" cy="3307715"/>
            <wp:effectExtent l="0" t="0" r="0" b="0"/>
            <wp:docPr id="1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descr="" title=""/>
                    <pic:cNvPicPr>
                      <a:picLocks noChangeAspect="1" noChangeArrowheads="1"/>
                    </pic:cNvPicPr>
                  </pic:nvPicPr>
                  <pic:blipFill>
                    <a:blip r:embed="rId32"/>
                    <a:srcRect l="-5" t="-7" r="-5" b="-7"/>
                    <a:stretch>
                      <a:fillRect/>
                    </a:stretch>
                  </pic:blipFill>
                  <pic:spPr bwMode="auto">
                    <a:xfrm>
                      <a:off x="0" y="0"/>
                      <a:ext cx="5158105" cy="3307715"/>
                    </a:xfrm>
                    <a:prstGeom prst="rect">
                      <a:avLst/>
                    </a:prstGeom>
                  </pic:spPr>
                </pic:pic>
              </a:graphicData>
            </a:graphic>
          </wp:inline>
        </w:drawing>
      </w:r>
    </w:p>
    <w:p>
      <w:pPr>
        <w:pStyle w:val="NormalWeb"/>
        <w:spacing w:before="0" w:after="0"/>
        <w:rPr/>
      </w:pPr>
      <w:r>
        <w:rPr/>
        <w:t xml:space="preserve">Fig. 14. The Creation Stone of Doanama, with a </w:t>
      </w:r>
      <w:r>
        <w:rPr>
          <w:i/>
        </w:rPr>
        <w:t>Máma</w:t>
      </w:r>
      <w:r>
        <w:rPr/>
        <w:t xml:space="preserve"> guarding it while presenting its message. </w:t>
      </w:r>
      <w:hyperlink r:id="rId33">
        <w:r>
          <w:rPr>
            <w:rStyle w:val="InternetLink"/>
          </w:rPr>
          <w:t>http://intermundos.org/en/wp-content/uploads/2009/01/duanama1.jpg</w:t>
        </w:r>
      </w:hyperlink>
    </w:p>
    <w:p>
      <w:pPr>
        <w:pStyle w:val="NormalWeb"/>
        <w:spacing w:before="0" w:after="0"/>
        <w:rPr/>
      </w:pPr>
      <w:r>
        <w:rPr/>
      </w:r>
    </w:p>
    <w:p>
      <w:pPr>
        <w:pStyle w:val="NormalWeb"/>
        <w:spacing w:before="0" w:after="0"/>
        <w:rPr/>
      </w:pPr>
      <w:r>
        <w:rPr/>
      </w:r>
    </w:p>
    <w:p>
      <w:pPr>
        <w:pStyle w:val="NormalWeb"/>
        <w:spacing w:before="0" w:after="0"/>
        <w:rPr/>
      </w:pPr>
      <w:r>
        <w:rPr/>
        <w:t xml:space="preserve">The Kogi are also practical about sexual and social relations. Couples are free to divorce and women are free to abort a fetus. Homosexuality and trans-sexuality are accepted. </w:t>
      </w:r>
    </w:p>
    <w:p>
      <w:pPr>
        <w:pStyle w:val="NormalWeb"/>
        <w:spacing w:before="0" w:after="0"/>
        <w:rPr/>
      </w:pPr>
      <w:r>
        <w:rPr/>
      </w:r>
    </w:p>
    <w:p>
      <w:pPr>
        <w:pStyle w:val="Normal"/>
        <w:rPr>
          <w:b/>
          <w:b/>
          <w:bCs/>
        </w:rPr>
      </w:pPr>
      <w:r>
        <w:rPr>
          <w:b/>
        </w:rPr>
        <w:t>MALAYO</w:t>
      </w:r>
    </w:p>
    <w:p>
      <w:pPr>
        <w:pStyle w:val="Normal"/>
        <w:rPr/>
      </w:pPr>
      <w:r>
        <w:rPr>
          <w:rFonts w:eastAsia="Times New Roman"/>
        </w:rPr>
        <w:tab/>
        <w:t xml:space="preserve">About 7,000 Malayo live in the south and east valleys, between Valledupar and Santa Marta. They have democratic governance in which men meet every month in the men's house and stay all night discussing and voting on all conflicts and ideas led by </w:t>
      </w:r>
      <w:r>
        <w:rPr>
          <w:rFonts w:eastAsia="Times New Roman"/>
          <w:i/>
        </w:rPr>
        <w:t>Cabildes</w:t>
      </w:r>
      <w:r>
        <w:rPr>
          <w:rFonts w:eastAsia="Times New Roman"/>
        </w:rPr>
        <w:t xml:space="preserve"> (caciques) and </w:t>
      </w:r>
      <w:r>
        <w:rPr>
          <w:rFonts w:eastAsia="Times New Roman"/>
          <w:i/>
        </w:rPr>
        <w:t>Mámas</w:t>
      </w:r>
      <w:r>
        <w:rPr>
          <w:rFonts w:eastAsia="Times New Roman"/>
        </w:rPr>
        <w:t xml:space="preserve"> (priests). Inhabitants have two houses, one on their farmland where they live most of the time and one in the village where they stay during town meetings, so they take these meetings seriously. Furthermore, they visually express their cultural identity as descendants of the Tairona by always wearing white cotton clothes and long hair. Since only about 65% of the Malayo speak their native language of </w:t>
      </w:r>
      <w:r>
        <w:rPr>
          <w:rFonts w:eastAsia="Times New Roman"/>
          <w:i/>
        </w:rPr>
        <w:t>Damana</w:t>
      </w:r>
      <w:r>
        <w:rPr>
          <w:rFonts w:eastAsia="Times New Roman"/>
        </w:rPr>
        <w:t xml:space="preserve">, and this may contribute to differing demographic figures as various </w:t>
      </w:r>
      <w:r>
        <w:rPr>
          <w:rFonts w:eastAsia="Times New Roman"/>
          <w:i/>
        </w:rPr>
        <w:t>Damana</w:t>
      </w:r>
      <w:r>
        <w:rPr>
          <w:rFonts w:eastAsia="Times New Roman"/>
        </w:rPr>
        <w:t xml:space="preserve"> words are used to refer to households within the settlements (Joshua Project 2015). “The Malayo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Pr>
          <w:rFonts w:eastAsia="Times New Roman"/>
          <w:i/>
        </w:rPr>
        <w:t>Damana</w:t>
      </w:r>
      <w:r>
        <w:rPr>
          <w:rFonts w:eastAsia="Times New Roman"/>
        </w:rPr>
        <w:t>). They have no part of Bible translated into their language as of yet and no missionary is currently working in their land” (Joshua Project 2015).</w:t>
      </w:r>
    </w:p>
    <w:p>
      <w:pPr>
        <w:pStyle w:val="Normal"/>
        <w:rPr>
          <w:rFonts w:eastAsia="Times New Roman"/>
        </w:rPr>
      </w:pPr>
      <w:r>
        <w:rPr>
          <w:rFonts w:eastAsia="Times New Roman"/>
        </w:rPr>
      </w:r>
    </w:p>
    <w:p>
      <w:pPr>
        <w:pStyle w:val="Normal"/>
        <w:rPr>
          <w:rFonts w:eastAsia="Times New Roman"/>
        </w:rPr>
      </w:pPr>
      <w:r>
        <w:rPr>
          <w:rFonts w:eastAsia="Times New Roman"/>
        </w:rPr>
        <w:t xml:space="preserve">  </w:t>
      </w:r>
    </w:p>
    <w:p>
      <w:pPr>
        <w:pStyle w:val="Normal"/>
        <w:rPr/>
      </w:pPr>
      <w:r>
        <w:rPr/>
        <w:object>
          <v:shape id="ole_rId34" style="width:416.05pt;height:234.75pt" o:ole="">
            <v:imagedata r:id="rId35" o:title=""/>
          </v:shape>
          <o:OLEObject Type="Embed" ProgID="" ShapeID="ole_rId34" DrawAspect="Content" ObjectID="_1652697548" r:id="rId34"/>
        </w:object>
      </w:r>
    </w:p>
    <w:p>
      <w:pPr>
        <w:pStyle w:val="Normal"/>
        <w:rPr/>
      </w:pPr>
      <w:r>
        <w:rPr/>
        <w:t xml:space="preserve">Fig. 15. A Kogi </w:t>
      </w:r>
      <w:r>
        <w:rPr>
          <w:i/>
        </w:rPr>
        <w:t>Máma</w:t>
      </w:r>
      <w:r>
        <w:rP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http://ifmanworld.org/wp-content/uploads/2016/03/00160.jpg</w:t>
      </w:r>
    </w:p>
    <w:p>
      <w:pPr>
        <w:pStyle w:val="Normal"/>
        <w:rPr/>
      </w:pPr>
      <w:r>
        <w:rPr/>
      </w:r>
    </w:p>
    <w:p>
      <w:pPr>
        <w:pStyle w:val="Normal"/>
        <w:rPr/>
      </w:pPr>
      <w:r>
        <w:rPr/>
        <w:object>
          <v:shape id="ole_rId36" style="width:504.25pt;height:323.9pt" o:ole="">
            <v:imagedata r:id="rId37" o:title=""/>
          </v:shape>
          <o:OLEObject Type="Embed" ProgID="" ShapeID="ole_rId36" DrawAspect="Content" ObjectID="_514211512" r:id="rId36"/>
        </w:object>
      </w:r>
    </w:p>
    <w:p>
      <w:pPr>
        <w:pStyle w:val="Normal"/>
        <w:rPr/>
      </w:pPr>
      <w:r>
        <w:rPr/>
      </w:r>
    </w:p>
    <w:p>
      <w:pPr>
        <w:pStyle w:val="Normal"/>
        <w:rPr/>
      </w:pPr>
      <w:r>
        <w:rPr/>
        <w:t xml:space="preserve">Fig. 16. Tairona house platforms at Teyuna, a village so-called “Ciudad Perdida,” ca. 100 BCE that terraced the steep mountainsides for circular structures, both domestic and ceremonial. From </w:t>
      </w:r>
      <w:hyperlink r:id="rId38">
        <w:r>
          <w:rPr>
            <w:rStyle w:val="InternetLink"/>
          </w:rPr>
          <w:t>http://lostcitytrekcolombia.com/wp-content/uploads/2014/09/lost-city-trek-tour-santa-marta-colombia-expotur-teyuna-tours-travel-best-trek-in-south-america_post_001.jpg</w:t>
        </w:r>
      </w:hyperlink>
    </w:p>
    <w:p>
      <w:pPr>
        <w:pStyle w:val="NormalWeb"/>
        <w:shd w:fill="FFFFFF" w:val="clear"/>
        <w:spacing w:before="120" w:after="120"/>
        <w:rPr/>
      </w:pPr>
      <w:r>
        <w:rPr/>
      </w:r>
    </w:p>
    <w:p>
      <w:pPr>
        <w:pStyle w:val="Normal"/>
        <w:rPr/>
      </w:pPr>
      <w:r>
        <w:rPr/>
        <w:object>
          <v:shape id="ole_rId39" style="width:432.2pt;height:251.9pt" o:ole="">
            <v:imagedata r:id="rId40" o:title=""/>
          </v:shape>
          <o:OLEObject Type="Embed" ProgID="" ShapeID="ole_rId39" DrawAspect="Content" ObjectID="_1142401929" r:id="rId39"/>
        </w:object>
      </w:r>
    </w:p>
    <w:p>
      <w:pPr>
        <w:pStyle w:val="Normal"/>
        <w:rPr/>
      </w:pPr>
      <w:r>
        <w:rPr/>
        <w:t>Fig. 17. Aerial view showing the altitude and extent of the view-scape of the mountain ranges in the Sierra Nevada de Santa Marta. https://www.google.com/maps/place/Sierra+Nevada+De+Santa+Marta/@10.9321073,-73.5986077,3a,95.8y,90t</w:t>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CantoriaMTStd-Light">
    <w:charset w:val="00" w:characterSet="windows-1252"/>
    <w:family w:val="roman"/>
    <w:pitch w:val="default"/>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ËÎÌå" w:cs="Times New Roman"/>
      <w:color w:val="auto"/>
      <w:sz w:val="24"/>
      <w:szCs w:val="24"/>
      <w:lang w:val="en-US" w:eastAsia="zh-CN" w:bidi="ar-SA"/>
    </w:rPr>
  </w:style>
  <w:style w:type="character" w:styleId="DefaultParagraphFont">
    <w:name w:val="Default Paragraph Font"/>
    <w:qFormat/>
    <w:rPr/>
  </w:style>
  <w:style w:type="character" w:styleId="Objaccessionnumber">
    <w:name w:val="objaccessionnumber"/>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Itempublisher">
    <w:name w:val="itempublisher"/>
    <w:qFormat/>
    <w:rPr/>
  </w:style>
  <w:style w:type="character" w:styleId="HTMLCite">
    <w:name w:val="HTML Cite"/>
    <w:qFormat/>
    <w:rPr>
      <w:i/>
      <w:iCs/>
    </w:rPr>
  </w:style>
  <w:style w:type="character" w:styleId="Referencetext">
    <w:name w:val="reference-text"/>
    <w:qFormat/>
    <w:rPr/>
  </w:style>
  <w:style w:type="character" w:styleId="Capitems">
    <w:name w:val="cap_items"/>
    <w:qFormat/>
    <w:rPr/>
  </w:style>
  <w:style w:type="character" w:styleId="Shorttext">
    <w:name w:val="short_text"/>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ombstonesmall">
    <w:name w:val="tombstonesmall"/>
    <w:basedOn w:val="Normal"/>
    <w:qFormat/>
    <w:pPr>
      <w:spacing w:before="280" w:after="280"/>
    </w:pPr>
    <w:rPr/>
  </w:style>
  <w:style w:type="paragraph" w:styleId="Default">
    <w:name w:val="Default"/>
    <w:qFormat/>
    <w:pPr>
      <w:widowControl/>
      <w:autoSpaceDE w:val="false"/>
    </w:pPr>
    <w:rPr>
      <w:rFonts w:ascii="Times New Roman" w:hAnsi="Times New Roman" w:eastAsia="Calibri" w:cs="Times New Roman"/>
      <w:color w:val="000000"/>
      <w:sz w:val="24"/>
      <w:szCs w:val="24"/>
      <w:lang w:val="en-US" w:bidi="ar-SA" w:eastAsia="zh-CN"/>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hyperlink" Target="https://html2-f.scribdassets.com/5nmwqq7itc4aqx2e/images/6-a5a093175f.jpg"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oleObject" Target="embeddings/oleObject2.bin"/><Relationship Id="rId12" Type="http://schemas.openxmlformats.org/officeDocument/2006/relationships/image" Target="media/image8.wmf"/><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en.wikipedia.org/wiki/Cambridge_University_Press" TargetMode="External"/><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www.amazon.com/Elder-Brothers-Alan-Ereira/dp/0679743367/ref=tmm_pap_swatch_0?_encoding=UTF8&amp;sr=&amp;qid=" TargetMode="External"/><Relationship Id="rId21" Type="http://schemas.openxmlformats.org/officeDocument/2006/relationships/hyperlink" Target="http://www.ling.fi/Entradas diccionario/Dic=Chibcha.pdf" TargetMode="External"/><Relationship Id="rId22" Type="http://schemas.openxmlformats.org/officeDocument/2006/relationships/hyperlink" Target="http://glottolog.org/resource/languoid/id/kank1244" TargetMode="External"/><Relationship Id="rId23" Type="http://schemas.openxmlformats.org/officeDocument/2006/relationships/hyperlink" Target="https://en.wikipedia.org/wiki/Glottolog" TargetMode="External"/><Relationship Id="rId24" Type="http://schemas.openxmlformats.org/officeDocument/2006/relationships/hyperlink" Target="https://joshuaproject.net/people_groups/13448/CO" TargetMode="External"/><Relationship Id="rId25" Type="http://schemas.openxmlformats.org/officeDocument/2006/relationships/hyperlink" Target="https://books.google.com/books?id=2YQTHJlt5l4C&amp;pg=PA90" TargetMode="External"/><Relationship Id="rId26" Type="http://schemas.openxmlformats.org/officeDocument/2006/relationships/hyperlink" Target="http://tairona.myzen.co.uk/" TargetMode="External"/><Relationship Id="rId27" Type="http://schemas.openxmlformats.org/officeDocument/2006/relationships/hyperlink" Target="https://en.wikipedia.org/wiki/Kankuamo" TargetMode="External"/><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hyperlink" Target="https://laviebyc.files.wordpress.com/2014/10/image39.jpg" TargetMode="External"/><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intermundos.org/en/wp-content/uploads/2009/01/duanama1.jpg" TargetMode="External"/><Relationship Id="rId34" Type="http://schemas.openxmlformats.org/officeDocument/2006/relationships/oleObject" Target="embeddings/oleObject3.bin"/><Relationship Id="rId35" Type="http://schemas.openxmlformats.org/officeDocument/2006/relationships/image" Target="media/image18.wmf"/><Relationship Id="rId36" Type="http://schemas.openxmlformats.org/officeDocument/2006/relationships/oleObject" Target="embeddings/oleObject4.bin"/><Relationship Id="rId37" Type="http://schemas.openxmlformats.org/officeDocument/2006/relationships/image" Target="media/image19.wmf"/><Relationship Id="rId38" Type="http://schemas.openxmlformats.org/officeDocument/2006/relationships/hyperlink" Target="http://lostcitytrekcolombia.com/wp-content/uploads/2014/09/lost-city-trek-tour-santa-marta-colombia-expotur-teyuna-tours-travel-best-trek-in-south-america_post_001.jpg" TargetMode="External"/><Relationship Id="rId39" Type="http://schemas.openxmlformats.org/officeDocument/2006/relationships/oleObject" Target="embeddings/oleObject5.bin"/><Relationship Id="rId40" Type="http://schemas.openxmlformats.org/officeDocument/2006/relationships/image" Target="media/image20.wmf"/><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2018-07-12T09:48:00Z</dcterms:created>
  <dc:creator>USER</dc:creator>
  <dc:description/>
  <cp:keywords/>
  <dc:language>en-US</dc:language>
  <cp:lastModifiedBy>Ralph Coffman</cp:lastModifiedBy>
  <dcterms:modified xsi:type="dcterms:W3CDTF">2018-07-12T09:48:00Z</dcterms:modified>
  <cp:revision>2</cp:revision>
  <dc:subject/>
  <dc:title>Am,C-Colombia-Tairona-Tumbaga-Human</dc:title>
</cp:coreProperties>
</file>